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b w:val="0"/>
          <w:color w:val="00b0f0"/>
          <w:sz w:val="28"/>
          <w:szCs w:val="28"/>
          <w:vertAlign w:val="baseline"/>
        </w:rPr>
      </w:pPr>
      <w:r w:rsidDel="00000000" w:rsidR="00000000" w:rsidRPr="00000000">
        <w:rPr>
          <w:rtl w:val="0"/>
        </w:rPr>
      </w:r>
    </w:p>
    <w:p w:rsidR="00000000" w:rsidDel="00000000" w:rsidP="00000000" w:rsidRDefault="00000000" w:rsidRPr="00000000" w14:paraId="0000000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b w:val="0"/>
          <w:color w:val="70ad47"/>
          <w:sz w:val="22"/>
          <w:szCs w:val="22"/>
          <w:vertAlign w:val="baseline"/>
        </w:rPr>
      </w:pPr>
      <w:r w:rsidDel="00000000" w:rsidR="00000000" w:rsidRPr="00000000">
        <w:rPr>
          <w:rFonts w:ascii="Century Gothic" w:cs="Century Gothic" w:eastAsia="Century Gothic" w:hAnsi="Century Gothic"/>
          <w:b w:val="1"/>
          <w:color w:val="70ad47"/>
          <w:sz w:val="22"/>
          <w:szCs w:val="22"/>
          <w:vertAlign w:val="baseline"/>
          <w:rtl w:val="0"/>
        </w:rPr>
        <w:t xml:space="preserve">AVALUACIÓ ORDINÀRIA</w:t>
      </w:r>
      <w:r w:rsidDel="00000000" w:rsidR="00000000" w:rsidRPr="00000000">
        <w:rPr>
          <w:rtl w:val="0"/>
        </w:rPr>
      </w:r>
    </w:p>
    <w:p w:rsidR="00000000" w:rsidDel="00000000" w:rsidP="00000000" w:rsidRDefault="00000000" w:rsidRPr="00000000" w14:paraId="00000003">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after="60" w:before="240" w:line="240" w:lineRule="auto"/>
        <w:ind w:left="0" w:right="0" w:firstLine="0"/>
        <w:jc w:val="left"/>
        <w:rPr>
          <w:rFonts w:ascii="Century Gothic" w:cs="Century Gothic" w:eastAsia="Century Gothic" w:hAnsi="Century Gothic"/>
          <w:b w:val="1"/>
          <w:i w:val="0"/>
          <w:smallCaps w:val="0"/>
          <w:strike w:val="0"/>
          <w:color w:val="00b0f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b0f0"/>
          <w:sz w:val="22"/>
          <w:szCs w:val="22"/>
          <w:u w:val="none"/>
          <w:shd w:fill="auto" w:val="clear"/>
          <w:vertAlign w:val="baseline"/>
          <w:rtl w:val="0"/>
        </w:rPr>
        <w:t xml:space="preserve">Nota trimestral</w:t>
      </w:r>
    </w:p>
    <w:p w:rsidR="00000000" w:rsidDel="00000000" w:rsidP="00000000" w:rsidRDefault="00000000" w:rsidRPr="00000000" w14:paraId="0000000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La nota final de la convocatòria trimestral s’obté a partir de les notes obtingudes en el treball de les competències específiques de la matèria seleccionades a continuació. </w:t>
      </w:r>
    </w:p>
    <w:p w:rsidR="00000000" w:rsidDel="00000000" w:rsidP="00000000" w:rsidRDefault="00000000" w:rsidRPr="00000000" w14:paraId="00000005">
      <w:pPr>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06">
      <w:pPr>
        <w:jc w:val="both"/>
        <w:rPr>
          <w:rFonts w:ascii="Century Gothic" w:cs="Century Gothic" w:eastAsia="Century Gothic" w:hAnsi="Century Gothic"/>
          <w:color w:val="222222"/>
          <w:sz w:val="22"/>
          <w:szCs w:val="22"/>
          <w:highlight w:val="white"/>
          <w:vertAlign w:val="baseline"/>
        </w:rPr>
      </w:pPr>
      <w:r w:rsidDel="00000000" w:rsidR="00000000" w:rsidRPr="00000000">
        <w:rPr>
          <w:rFonts w:ascii="Century Gothic" w:cs="Century Gothic" w:eastAsia="Century Gothic" w:hAnsi="Century Gothic"/>
          <w:sz w:val="22"/>
          <w:szCs w:val="22"/>
          <w:vertAlign w:val="baseline"/>
          <w:rtl w:val="0"/>
        </w:rPr>
        <w:t xml:space="preserve">De caràcter general, els instruments d’avaluació seran diferents, preveuran </w:t>
      </w:r>
      <w:r w:rsidDel="00000000" w:rsidR="00000000" w:rsidRPr="00000000">
        <w:rPr>
          <w:rFonts w:ascii="Century Gothic" w:cs="Century Gothic" w:eastAsia="Century Gothic" w:hAnsi="Century Gothic"/>
          <w:color w:val="222222"/>
          <w:sz w:val="22"/>
          <w:szCs w:val="22"/>
          <w:highlight w:val="white"/>
          <w:vertAlign w:val="baseline"/>
          <w:rtl w:val="0"/>
        </w:rPr>
        <w:t xml:space="preserve">l'autoavaluació i la co-avaluació d’alumnat i garantiran un seguiment continu de cada alumne/a al llarg del procés d'aprenentatge.</w:t>
      </w:r>
    </w:p>
    <w:p w:rsidR="00000000" w:rsidDel="00000000" w:rsidP="00000000" w:rsidRDefault="00000000" w:rsidRPr="00000000" w14:paraId="00000007">
      <w:pPr>
        <w:jc w:val="both"/>
        <w:rPr>
          <w:rFonts w:ascii="Century Gothic" w:cs="Century Gothic" w:eastAsia="Century Gothic" w:hAnsi="Century Gothic"/>
          <w:sz w:val="22"/>
          <w:szCs w:val="22"/>
          <w:vertAlign w:val="baseline"/>
        </w:rPr>
      </w:pPr>
      <w:r w:rsidDel="00000000" w:rsidR="00000000" w:rsidRPr="00000000">
        <w:rPr>
          <w:rtl w:val="0"/>
        </w:rPr>
      </w:r>
    </w:p>
    <w:tbl>
      <w:tblPr>
        <w:tblStyle w:val="Table1"/>
        <w:tblW w:w="9850.0" w:type="dxa"/>
        <w:jc w:val="righ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87"/>
        <w:gridCol w:w="1263"/>
        <w:tblGridChange w:id="0">
          <w:tblGrid>
            <w:gridCol w:w="8587"/>
            <w:gridCol w:w="1263"/>
          </w:tblGrid>
        </w:tblGridChange>
      </w:tblGrid>
      <w:tr>
        <w:trPr>
          <w:cantSplit w:val="0"/>
          <w:trHeight w:val="807" w:hRule="atLeast"/>
          <w:tblHeader w:val="0"/>
        </w:trPr>
        <w:tc>
          <w:tcPr>
            <w:tcBorders>
              <w:bottom w:color="000000" w:space="0" w:sz="4" w:val="single"/>
            </w:tcBorders>
            <w:shd w:fill="92d050" w:val="clear"/>
            <w:vAlign w:val="center"/>
          </w:tcPr>
          <w:p w:rsidR="00000000" w:rsidDel="00000000" w:rsidP="00000000" w:rsidRDefault="00000000" w:rsidRPr="00000000" w14:paraId="0000000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COMPETÈNCIES ESPECÍFIQUES MATÈRIA </w:t>
            </w:r>
            <w:r w:rsidDel="00000000" w:rsidR="00000000" w:rsidRPr="00000000">
              <w:rPr>
                <w:rtl w:val="0"/>
              </w:rPr>
            </w:r>
          </w:p>
        </w:tc>
        <w:tc>
          <w:tcPr>
            <w:tcBorders>
              <w:bottom w:color="000000" w:space="0" w:sz="4" w:val="single"/>
            </w:tcBorders>
            <w:shd w:fill="92d050" w:val="clear"/>
            <w:vAlign w:val="center"/>
          </w:tcPr>
          <w:p w:rsidR="00000000" w:rsidDel="00000000" w:rsidP="00000000" w:rsidRDefault="00000000" w:rsidRPr="00000000" w14:paraId="0000000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SELECCIÓ</w:t>
            </w:r>
            <w:r w:rsidDel="00000000" w:rsidR="00000000" w:rsidRPr="00000000">
              <w:rPr>
                <w:rtl w:val="0"/>
              </w:rPr>
            </w:r>
          </w:p>
        </w:tc>
      </w:tr>
      <w:tr>
        <w:trPr>
          <w:cantSplit w:val="0"/>
          <w:trHeight w:val="509" w:hRule="atLeast"/>
          <w:tblHeader w:val="0"/>
        </w:trPr>
        <w:tc>
          <w:tcPr>
            <w:shd w:fill="e2efd9" w:val="clear"/>
            <w:vAlign w:val="top"/>
          </w:tcPr>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1.</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Century Gothic" w:cs="Century Gothic" w:eastAsia="Century Gothic" w:hAnsi="Century Gothic"/>
                <w:b w:val="0"/>
                <w:i w:val="1"/>
                <w:smallCaps w:val="0"/>
                <w:strike w:val="0"/>
                <w:color w:val="333333"/>
                <w:sz w:val="16"/>
                <w:szCs w:val="16"/>
                <w:u w:val="none"/>
                <w:shd w:fill="auto" w:val="clear"/>
                <w:vertAlign w:val="baseline"/>
                <w:rtl w:val="0"/>
              </w:rPr>
              <w:t xml:space="preserve">Analitzar, coordinar i dissenyar projectes de recerca amb una actitud crítica i emprenedora, ideant i implementant estratègies i tècniques sostenibles i eficients de resolució de problemes, tot comunicant els resultats de manera ordenada i raonada, per crear i millorar productes i sistemes de manera continuada.</w:t>
            </w:r>
            <w:r w:rsidDel="00000000" w:rsidR="00000000" w:rsidRPr="00000000">
              <w:rPr>
                <w:rtl w:val="0"/>
              </w:rPr>
            </w:r>
          </w:p>
        </w:tc>
        <w:tc>
          <w:tcPr>
            <w:vAlign w:val="center"/>
          </w:tcPr>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1r - 2n</w:t>
            </w:r>
            <w:r w:rsidDel="00000000" w:rsidR="00000000" w:rsidRPr="00000000">
              <w:rPr>
                <w:rtl w:val="0"/>
              </w:rPr>
            </w:r>
          </w:p>
        </w:tc>
      </w:tr>
      <w:tr>
        <w:trPr>
          <w:cantSplit w:val="0"/>
          <w:trHeight w:val="335" w:hRule="atLeast"/>
          <w:tblHeader w:val="0"/>
        </w:trPr>
        <w:tc>
          <w:tcPr>
            <w:shd w:fill="e2efd9" w:val="clear"/>
            <w:vAlign w:val="top"/>
          </w:tcPr>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2. </w:t>
            </w:r>
            <w:r w:rsidDel="00000000" w:rsidR="00000000" w:rsidRPr="00000000">
              <w:rPr>
                <w:rFonts w:ascii="Century Gothic" w:cs="Century Gothic" w:eastAsia="Century Gothic" w:hAnsi="Century Gothic"/>
                <w:b w:val="0"/>
                <w:i w:val="1"/>
                <w:smallCaps w:val="0"/>
                <w:strike w:val="0"/>
                <w:color w:val="333333"/>
                <w:sz w:val="16"/>
                <w:szCs w:val="16"/>
                <w:u w:val="none"/>
                <w:shd w:fill="auto" w:val="clear"/>
                <w:vertAlign w:val="baseline"/>
                <w:rtl w:val="0"/>
              </w:rPr>
              <w:t xml:space="preserve">Comparar i seleccionar materials, aplicant criteris tècnics i sostenibles, per fabricar productes de qualitat i elaborar estudis d’impacte que aportin respostes a problemes o a situacions plantejades amb un enfocament ètic i ecosocialment responsable.</w:t>
            </w:r>
            <w:r w:rsidDel="00000000" w:rsidR="00000000" w:rsidRPr="00000000">
              <w:rPr>
                <w:rtl w:val="0"/>
              </w:rPr>
            </w:r>
          </w:p>
        </w:tc>
        <w:tc>
          <w:tcPr>
            <w:vAlign w:val="center"/>
          </w:tcPr>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1r - 2n</w:t>
            </w:r>
            <w:r w:rsidDel="00000000" w:rsidR="00000000" w:rsidRPr="00000000">
              <w:rPr>
                <w:rtl w:val="0"/>
              </w:rPr>
            </w:r>
          </w:p>
        </w:tc>
      </w:tr>
      <w:tr>
        <w:trPr>
          <w:cantSplit w:val="0"/>
          <w:trHeight w:val="402" w:hRule="atLeast"/>
          <w:tblHeader w:val="0"/>
        </w:trPr>
        <w:tc>
          <w:tcPr>
            <w:shd w:fill="e2efd9" w:val="clear"/>
            <w:vAlign w:val="top"/>
          </w:tcPr>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3. </w:t>
            </w:r>
            <w:r w:rsidDel="00000000" w:rsidR="00000000" w:rsidRPr="00000000">
              <w:rPr>
                <w:rFonts w:ascii="Century Gothic" w:cs="Century Gothic" w:eastAsia="Century Gothic" w:hAnsi="Century Gothic"/>
                <w:b w:val="0"/>
                <w:i w:val="1"/>
                <w:smallCaps w:val="0"/>
                <w:strike w:val="0"/>
                <w:color w:val="000000"/>
                <w:sz w:val="16"/>
                <w:szCs w:val="16"/>
                <w:u w:val="none"/>
                <w:shd w:fill="auto" w:val="clear"/>
                <w:vertAlign w:val="baseline"/>
                <w:rtl w:val="0"/>
              </w:rPr>
              <w:t xml:space="preserve">Seleccionar, utilitzar i configurar les eines digitals necessàries, aplicant coneixements interdisciplinaris, per resoldre tasques i comunicar els resultats de manera ordenada i precisa, amb l’ús acurat del llenguatge gràfic i la terminologia tècnica adequada.</w:t>
            </w:r>
            <w:r w:rsidDel="00000000" w:rsidR="00000000" w:rsidRPr="00000000">
              <w:rPr>
                <w:rtl w:val="0"/>
              </w:rPr>
            </w:r>
          </w:p>
        </w:tc>
        <w:tc>
          <w:tcPr>
            <w:vAlign w:val="center"/>
          </w:tcPr>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1r - 2n</w:t>
            </w:r>
            <w:r w:rsidDel="00000000" w:rsidR="00000000" w:rsidRPr="00000000">
              <w:rPr>
                <w:rtl w:val="0"/>
              </w:rPr>
            </w:r>
          </w:p>
        </w:tc>
      </w:tr>
      <w:tr>
        <w:trPr>
          <w:cantSplit w:val="0"/>
          <w:trHeight w:val="402" w:hRule="atLeast"/>
          <w:tblHeader w:val="0"/>
        </w:trPr>
        <w:tc>
          <w:tcPr>
            <w:shd w:fill="e2efd9" w:val="clear"/>
            <w:vAlign w:val="top"/>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4. </w:t>
            </w:r>
            <w:r w:rsidDel="00000000" w:rsidR="00000000" w:rsidRPr="00000000">
              <w:rPr>
                <w:rFonts w:ascii="Century Gothic" w:cs="Century Gothic" w:eastAsia="Century Gothic" w:hAnsi="Century Gothic"/>
                <w:b w:val="0"/>
                <w:i w:val="1"/>
                <w:smallCaps w:val="0"/>
                <w:strike w:val="0"/>
                <w:color w:val="000000"/>
                <w:sz w:val="16"/>
                <w:szCs w:val="16"/>
                <w:u w:val="none"/>
                <w:shd w:fill="auto" w:val="clear"/>
                <w:vertAlign w:val="baseline"/>
                <w:rtl w:val="0"/>
              </w:rPr>
              <w:t xml:space="preserve">Construir nous coneixements i millorar les destreses tècniques, aplicant i transferint sabers d’altres disciplines amb una actitud creativa, per calcular, mesurar i resoldre problemes o aportar respostes a diferents necessitats pròpies dels àmbits de l’enginyeria.</w:t>
            </w:r>
            <w:r w:rsidDel="00000000" w:rsidR="00000000" w:rsidRPr="00000000">
              <w:rPr>
                <w:rtl w:val="0"/>
              </w:rPr>
            </w:r>
          </w:p>
        </w:tc>
        <w:tc>
          <w:tcPr>
            <w:vAlign w:val="center"/>
          </w:tcPr>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1r - 2n</w:t>
            </w:r>
            <w:r w:rsidDel="00000000" w:rsidR="00000000" w:rsidRPr="00000000">
              <w:rPr>
                <w:rtl w:val="0"/>
              </w:rPr>
            </w:r>
          </w:p>
        </w:tc>
      </w:tr>
      <w:tr>
        <w:trPr>
          <w:cantSplit w:val="0"/>
          <w:trHeight w:val="402" w:hRule="atLeast"/>
          <w:tblHeader w:val="0"/>
        </w:trPr>
        <w:tc>
          <w:tcPr>
            <w:shd w:fill="e2efd9" w:val="clear"/>
            <w:vAlign w:val="top"/>
          </w:tcPr>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5. </w:t>
            </w:r>
            <w:r w:rsidDel="00000000" w:rsidR="00000000" w:rsidRPr="00000000">
              <w:rPr>
                <w:rFonts w:ascii="Century Gothic" w:cs="Century Gothic" w:eastAsia="Century Gothic" w:hAnsi="Century Gothic"/>
                <w:b w:val="0"/>
                <w:i w:val="1"/>
                <w:smallCaps w:val="0"/>
                <w:strike w:val="0"/>
                <w:color w:val="000000"/>
                <w:sz w:val="16"/>
                <w:szCs w:val="16"/>
                <w:u w:val="none"/>
                <w:shd w:fill="auto" w:val="clear"/>
                <w:vertAlign w:val="baseline"/>
                <w:rtl w:val="0"/>
              </w:rPr>
              <w:t xml:space="preserve">Dissenyar, crear i avaluar sistemes tecnològics aplicant coneixements de la regulació automàtica, del control programat i de les possibilitats que ofereixen les tecnologies emergents, per estudiar, controlar i automatitzar tasques en sistemes tecnològics i robòtics.</w:t>
            </w:r>
            <w:r w:rsidDel="00000000" w:rsidR="00000000" w:rsidRPr="00000000">
              <w:rPr>
                <w:rtl w:val="0"/>
              </w:rPr>
            </w:r>
          </w:p>
        </w:tc>
        <w:tc>
          <w:tcPr>
            <w:vAlign w:val="center"/>
          </w:tcPr>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1r</w:t>
            </w:r>
            <w:r w:rsidDel="00000000" w:rsidR="00000000" w:rsidRPr="00000000">
              <w:rPr>
                <w:rtl w:val="0"/>
              </w:rPr>
            </w:r>
          </w:p>
        </w:tc>
      </w:tr>
      <w:tr>
        <w:trPr>
          <w:cantSplit w:val="0"/>
          <w:trHeight w:val="402" w:hRule="atLeast"/>
          <w:tblHeader w:val="0"/>
        </w:trPr>
        <w:tc>
          <w:tcPr>
            <w:shd w:fill="e2efd9" w:val="clear"/>
            <w:vAlign w:val="top"/>
          </w:tcPr>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6. </w:t>
            </w:r>
            <w:r w:rsidDel="00000000" w:rsidR="00000000" w:rsidRPr="00000000">
              <w:rPr>
                <w:rFonts w:ascii="Century Gothic" w:cs="Century Gothic" w:eastAsia="Century Gothic" w:hAnsi="Century Gothic"/>
                <w:b w:val="0"/>
                <w:i w:val="1"/>
                <w:smallCaps w:val="0"/>
                <w:strike w:val="0"/>
                <w:color w:val="000000"/>
                <w:sz w:val="16"/>
                <w:szCs w:val="16"/>
                <w:u w:val="none"/>
                <w:shd w:fill="auto" w:val="clear"/>
                <w:vertAlign w:val="baseline"/>
                <w:rtl w:val="0"/>
              </w:rPr>
              <w:t xml:space="preserve">Identificar i analitzar els diferents sistemes tecnològics dels àmbits de l’enginyeria, estudiant i comparant les seves característiques, tot valorant l’ús de l’energia i l’eficiència energètica per avaluar i valorar l’ús sostenible i ecosocialment responsable que es fa de la tecnologia.</w:t>
            </w:r>
            <w:r w:rsidDel="00000000" w:rsidR="00000000" w:rsidRPr="00000000">
              <w:rPr>
                <w:rtl w:val="0"/>
              </w:rPr>
            </w:r>
          </w:p>
        </w:tc>
        <w:tc>
          <w:tcPr>
            <w:vAlign w:val="center"/>
          </w:tcPr>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1r - 2n</w:t>
            </w:r>
            <w:r w:rsidDel="00000000" w:rsidR="00000000" w:rsidRPr="00000000">
              <w:rPr>
                <w:rtl w:val="0"/>
              </w:rPr>
            </w:r>
          </w:p>
        </w:tc>
      </w:tr>
    </w:tbl>
    <w:p w:rsidR="00000000" w:rsidDel="00000000" w:rsidP="00000000" w:rsidRDefault="00000000" w:rsidRPr="00000000" w14:paraId="0000001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tbl>
      <w:tblPr>
        <w:tblStyle w:val="Table2"/>
        <w:tblW w:w="1066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26"/>
        <w:gridCol w:w="4098"/>
        <w:gridCol w:w="1941"/>
        <w:tblGridChange w:id="0">
          <w:tblGrid>
            <w:gridCol w:w="4626"/>
            <w:gridCol w:w="4098"/>
            <w:gridCol w:w="1941"/>
          </w:tblGrid>
        </w:tblGridChange>
      </w:tblGrid>
      <w:tr>
        <w:trPr>
          <w:cantSplit w:val="0"/>
          <w:trHeight w:val="718" w:hRule="atLeast"/>
          <w:tblHeader w:val="0"/>
        </w:trPr>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01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tl w:val="0"/>
              </w:rPr>
            </w:r>
          </w:p>
        </w:tc>
        <w:tc>
          <w:tcPr>
            <w:tcBorders>
              <w:left w:color="000000" w:space="0" w:sz="4" w:val="single"/>
            </w:tcBorders>
            <w:shd w:fill="92d050" w:val="clear"/>
            <w:vAlign w:val="center"/>
          </w:tcPr>
          <w:p w:rsidR="00000000" w:rsidDel="00000000" w:rsidP="00000000" w:rsidRDefault="00000000" w:rsidRPr="00000000" w14:paraId="0000001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INSTRUMENTS D’AVALUACIÓ</w:t>
            </w:r>
            <w:r w:rsidDel="00000000" w:rsidR="00000000" w:rsidRPr="00000000">
              <w:rPr>
                <w:rtl w:val="0"/>
              </w:rPr>
            </w:r>
          </w:p>
        </w:tc>
        <w:tc>
          <w:tcPr>
            <w:shd w:fill="92d050" w:val="clear"/>
            <w:vAlign w:val="center"/>
          </w:tcPr>
          <w:p w:rsidR="00000000" w:rsidDel="00000000" w:rsidP="00000000" w:rsidRDefault="00000000" w:rsidRPr="00000000" w14:paraId="0000001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PONDERACIONS</w:t>
            </w:r>
            <w:r w:rsidDel="00000000" w:rsidR="00000000" w:rsidRPr="00000000">
              <w:rPr>
                <w:rtl w:val="0"/>
              </w:rPr>
            </w:r>
          </w:p>
        </w:tc>
      </w:tr>
      <w:tr>
        <w:trPr>
          <w:cantSplit w:val="0"/>
          <w:trHeight w:val="711" w:hRule="atLeast"/>
          <w:tblHeader w:val="0"/>
        </w:trPr>
        <w:tc>
          <w:tcPr>
            <w:tcBorders>
              <w:top w:color="000000" w:space="0" w:sz="4" w:val="single"/>
            </w:tcBorders>
            <w:shd w:fill="e2efd9" w:val="clear"/>
            <w:vAlign w:val="center"/>
          </w:tcPr>
          <w:p w:rsidR="00000000" w:rsidDel="00000000" w:rsidP="00000000" w:rsidRDefault="00000000" w:rsidRPr="00000000" w14:paraId="0000001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0"/>
                <w:szCs w:val="20"/>
                <w:vertAlign w:val="baseline"/>
              </w:rPr>
            </w:pPr>
            <w:r w:rsidDel="00000000" w:rsidR="00000000" w:rsidRPr="00000000">
              <w:rPr>
                <w:rFonts w:ascii="Century Gothic" w:cs="Century Gothic" w:eastAsia="Century Gothic" w:hAnsi="Century Gothic"/>
                <w:b w:val="1"/>
                <w:sz w:val="20"/>
                <w:szCs w:val="20"/>
                <w:vertAlign w:val="baseline"/>
                <w:rtl w:val="0"/>
              </w:rPr>
              <w:t xml:space="preserve">COMPETÈNCIES específiques de matèria treballades  aquest curs/nivell</w:t>
            </w:r>
            <w:r w:rsidDel="00000000" w:rsidR="00000000" w:rsidRPr="00000000">
              <w:rPr>
                <w:rtl w:val="0"/>
              </w:rPr>
            </w:r>
          </w:p>
        </w:tc>
        <w:tc>
          <w:tcPr>
            <w:vAlign w:val="top"/>
          </w:tcPr>
          <w:p w:rsidR="00000000" w:rsidDel="00000000" w:rsidP="00000000" w:rsidRDefault="00000000" w:rsidRPr="00000000" w14:paraId="0000001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1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rtl w:val="0"/>
              </w:rPr>
              <w:t xml:space="preserve">Proves escrites </w:t>
            </w:r>
            <w:r w:rsidDel="00000000" w:rsidR="00000000" w:rsidRPr="00000000">
              <w:rPr>
                <w:rtl w:val="0"/>
              </w:rPr>
            </w:r>
          </w:p>
          <w:p w:rsidR="00000000" w:rsidDel="00000000" w:rsidP="00000000" w:rsidRDefault="00000000" w:rsidRPr="00000000" w14:paraId="0000001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1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1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2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tc>
        <w:tc>
          <w:tcPr>
            <w:vAlign w:val="top"/>
          </w:tcPr>
          <w:p w:rsidR="00000000" w:rsidDel="00000000" w:rsidP="00000000" w:rsidRDefault="00000000" w:rsidRPr="00000000" w14:paraId="0000002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100%</w:t>
            </w:r>
          </w:p>
        </w:tc>
      </w:tr>
    </w:tbl>
    <w:p w:rsidR="00000000" w:rsidDel="00000000" w:rsidP="00000000" w:rsidRDefault="00000000" w:rsidRPr="00000000" w14:paraId="0000002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2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Observacions rellevants del instruments d’avaluació emprats.</w:t>
      </w:r>
      <w:r w:rsidDel="00000000" w:rsidR="00000000" w:rsidRPr="00000000">
        <w:rPr>
          <w:rtl w:val="0"/>
        </w:rPr>
      </w:r>
    </w:p>
    <w:p w:rsidR="00000000" w:rsidDel="00000000" w:rsidP="00000000" w:rsidRDefault="00000000" w:rsidRPr="00000000" w14:paraId="0000002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2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color w:val="ff2712"/>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Per aprovar el trimestre caldrà haver superat ≥50% la suma de les competències seleccionades.</w:t>
      </w:r>
      <w:r w:rsidDel="00000000" w:rsidR="00000000" w:rsidRPr="00000000">
        <w:rPr>
          <w:rtl w:val="0"/>
        </w:rPr>
      </w:r>
    </w:p>
    <w:p w:rsidR="00000000" w:rsidDel="00000000" w:rsidP="00000000" w:rsidRDefault="00000000" w:rsidRPr="00000000" w14:paraId="0000002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2"/>
          <w:szCs w:val="22"/>
          <w:vertAlign w:val="baseline"/>
        </w:rPr>
      </w:pPr>
      <w:r w:rsidDel="00000000" w:rsidR="00000000" w:rsidRPr="00000000">
        <w:rPr>
          <w:rtl w:val="0"/>
        </w:rPr>
      </w:r>
    </w:p>
    <w:p w:rsidR="00000000" w:rsidDel="00000000" w:rsidP="00000000" w:rsidRDefault="00000000" w:rsidRPr="00000000" w14:paraId="0000002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Justificació d’absència el dia d’una prova o examen. </w:t>
      </w:r>
      <w:r w:rsidDel="00000000" w:rsidR="00000000" w:rsidRPr="00000000">
        <w:rPr>
          <w:rtl w:val="0"/>
        </w:rPr>
      </w:r>
    </w:p>
    <w:p w:rsidR="00000000" w:rsidDel="00000000" w:rsidP="00000000" w:rsidRDefault="00000000" w:rsidRPr="00000000" w14:paraId="0000002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tl w:val="0"/>
        </w:rPr>
      </w:r>
    </w:p>
    <w:p w:rsidR="00000000" w:rsidDel="00000000" w:rsidP="00000000" w:rsidRDefault="00000000" w:rsidRPr="00000000" w14:paraId="0000002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Si un alumne falta a un examen, cal que presenti certificat mèdic o justifiqui la seva absència en cas de força major. No es podrà repetir cap examen a un alumne/a sense que aquest justificant sigui lliurat al tutor/a, i a la vegada, comunicat a cap d’estudis i/o la coordinació de batxillerat.</w:t>
      </w:r>
    </w:p>
    <w:p w:rsidR="00000000" w:rsidDel="00000000" w:rsidP="00000000" w:rsidRDefault="00000000" w:rsidRPr="00000000" w14:paraId="0000002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tl w:val="0"/>
        </w:rPr>
      </w:r>
    </w:p>
    <w:p w:rsidR="00000000" w:rsidDel="00000000" w:rsidP="00000000" w:rsidRDefault="00000000" w:rsidRPr="00000000" w14:paraId="0000002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No es pot faltar les hores prèvies a un examen. Si es produeix aquest fet sense cap causa justificable, i l’alumne acudeix a fer l’examen a l’hora programada, aquest no tindrà dret a fer-lo.  L’alumne haurà de fer directament la recuperació establerta segons els criteris d’avaluació de la matèria. Si ja ha fet l’examen i es prova que ha faltat les hores prèvies sense cap justificació, l’examen en qüestió no serà corregit i l’alumne s’haurà de presentar a l’activitat de recuperació establerta dins els criteris d’avaluació de la matèria</w:t>
      </w:r>
    </w:p>
    <w:p w:rsidR="00000000" w:rsidDel="00000000" w:rsidP="00000000" w:rsidRDefault="00000000" w:rsidRPr="00000000" w14:paraId="0000002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ff0000"/>
          <w:sz w:val="22"/>
          <w:szCs w:val="22"/>
          <w:vertAlign w:val="baseline"/>
        </w:rPr>
      </w:pPr>
      <w:r w:rsidDel="00000000" w:rsidR="00000000" w:rsidRPr="00000000">
        <w:rPr>
          <w:rtl w:val="0"/>
        </w:rPr>
      </w:r>
    </w:p>
    <w:p w:rsidR="00000000" w:rsidDel="00000000" w:rsidP="00000000" w:rsidRDefault="00000000" w:rsidRPr="00000000" w14:paraId="0000002E">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Activitats de recuperació trimestral</w:t>
      </w:r>
      <w:r w:rsidDel="00000000" w:rsidR="00000000" w:rsidRPr="00000000">
        <w:rPr>
          <w:rtl w:val="0"/>
        </w:rPr>
      </w:r>
    </w:p>
    <w:p w:rsidR="00000000" w:rsidDel="00000000" w:rsidP="00000000" w:rsidRDefault="00000000" w:rsidRPr="00000000" w14:paraId="0000002F">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En cas de no superar el trimestre, l’alumne/-a haurà de realitzar una prova de recuperació quan ho determini el pr</w:t>
      </w:r>
      <w:r w:rsidDel="00000000" w:rsidR="00000000" w:rsidRPr="00000000">
        <w:rPr>
          <w:rFonts w:ascii="Century Gothic" w:cs="Century Gothic" w:eastAsia="Century Gothic" w:hAnsi="Century Gothic"/>
          <w:sz w:val="22"/>
          <w:szCs w:val="22"/>
          <w:rtl w:val="0"/>
        </w:rPr>
        <w:t xml:space="preserve">ofessor. </w:t>
      </w:r>
      <w:r w:rsidDel="00000000" w:rsidR="00000000" w:rsidRPr="00000000">
        <w:rPr>
          <w:rtl w:val="0"/>
        </w:rPr>
      </w:r>
    </w:p>
    <w:p w:rsidR="00000000" w:rsidDel="00000000" w:rsidP="00000000" w:rsidRDefault="00000000" w:rsidRPr="00000000" w14:paraId="00000030">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after="60" w:before="240" w:line="240" w:lineRule="auto"/>
        <w:ind w:left="0" w:right="0" w:firstLine="0"/>
        <w:jc w:val="both"/>
        <w:rPr>
          <w:rFonts w:ascii="Century Gothic" w:cs="Century Gothic" w:eastAsia="Century Gothic" w:hAnsi="Century Gothic"/>
          <w:b w:val="1"/>
          <w:i w:val="0"/>
          <w:smallCaps w:val="0"/>
          <w:strike w:val="0"/>
          <w:color w:val="00b0f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b0f0"/>
          <w:sz w:val="22"/>
          <w:szCs w:val="22"/>
          <w:u w:val="none"/>
          <w:shd w:fill="auto" w:val="clear"/>
          <w:vertAlign w:val="baseline"/>
          <w:rtl w:val="0"/>
        </w:rPr>
        <w:t xml:space="preserve">Nota final contínua (juny)</w:t>
      </w:r>
    </w:p>
    <w:p w:rsidR="00000000" w:rsidDel="00000000" w:rsidP="00000000" w:rsidRDefault="00000000" w:rsidRPr="00000000" w14:paraId="0000003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La nota de la final contínua s’obté a partir de les notes obtingudes en els diferents trimestres segons:</w:t>
      </w:r>
    </w:p>
    <w:p w:rsidR="00000000" w:rsidDel="00000000" w:rsidP="00000000" w:rsidRDefault="00000000" w:rsidRPr="00000000" w14:paraId="0000003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color w:val="00b050"/>
          <w:sz w:val="22"/>
          <w:szCs w:val="22"/>
          <w:vertAlign w:val="baseline"/>
        </w:rPr>
      </w:pPr>
      <w:r w:rsidDel="00000000" w:rsidR="00000000" w:rsidRPr="00000000">
        <w:rPr>
          <w:rtl w:val="0"/>
        </w:rPr>
      </w:r>
    </w:p>
    <w:p w:rsidR="00000000" w:rsidDel="00000000" w:rsidP="00000000" w:rsidRDefault="00000000" w:rsidRPr="00000000" w14:paraId="0000003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color w:val="ff0000"/>
          <w:sz w:val="22"/>
          <w:szCs w:val="22"/>
          <w:vertAlign w:val="baseline"/>
        </w:rPr>
      </w:pPr>
      <w:r w:rsidDel="00000000" w:rsidR="00000000" w:rsidRPr="00000000">
        <w:rPr>
          <w:rFonts w:ascii="Century Gothic" w:cs="Century Gothic" w:eastAsia="Century Gothic" w:hAnsi="Century Gothic"/>
          <w:i w:val="1"/>
          <w:color w:val="ff0000"/>
          <w:sz w:val="22"/>
          <w:szCs w:val="22"/>
          <w:vertAlign w:val="baseline"/>
          <w:rtl w:val="0"/>
        </w:rPr>
        <w:t xml:space="preserve">QF = </w:t>
      </w:r>
      <w:r w:rsidDel="00000000" w:rsidR="00000000" w:rsidRPr="00000000">
        <w:rPr>
          <w:rFonts w:ascii="Century Gothic" w:cs="Century Gothic" w:eastAsia="Century Gothic" w:hAnsi="Century Gothic"/>
          <w:i w:val="1"/>
          <w:color w:val="ff0000"/>
          <w:sz w:val="22"/>
          <w:szCs w:val="22"/>
          <w:u w:val="single"/>
          <w:vertAlign w:val="baseline"/>
          <w:rtl w:val="0"/>
        </w:rPr>
        <w:t xml:space="preserve">QT1 + QT2  + QT3</w:t>
      </w:r>
      <w:r w:rsidDel="00000000" w:rsidR="00000000" w:rsidRPr="00000000">
        <w:rPr>
          <w:rtl w:val="0"/>
        </w:rPr>
      </w:r>
    </w:p>
    <w:p w:rsidR="00000000" w:rsidDel="00000000" w:rsidP="00000000" w:rsidRDefault="00000000" w:rsidRPr="00000000" w14:paraId="0000003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color w:val="ff0000"/>
          <w:sz w:val="22"/>
          <w:szCs w:val="22"/>
          <w:vertAlign w:val="baseline"/>
          <w:rtl w:val="0"/>
        </w:rPr>
        <w:t xml:space="preserve">3</w:t>
      </w:r>
      <w:r w:rsidDel="00000000" w:rsidR="00000000" w:rsidRPr="00000000">
        <w:rPr>
          <w:rtl w:val="0"/>
        </w:rPr>
      </w:r>
    </w:p>
    <w:p w:rsidR="00000000" w:rsidDel="00000000" w:rsidP="00000000" w:rsidRDefault="00000000" w:rsidRPr="00000000" w14:paraId="0000003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3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QF = qualificació final</w:t>
      </w:r>
      <w:r w:rsidDel="00000000" w:rsidR="00000000" w:rsidRPr="00000000">
        <w:rPr>
          <w:rtl w:val="0"/>
        </w:rPr>
      </w:r>
    </w:p>
    <w:p w:rsidR="00000000" w:rsidDel="00000000" w:rsidP="00000000" w:rsidRDefault="00000000" w:rsidRPr="00000000" w14:paraId="0000003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QT1 = qualificació del primer trimestre</w:t>
      </w:r>
      <w:r w:rsidDel="00000000" w:rsidR="00000000" w:rsidRPr="00000000">
        <w:rPr>
          <w:rtl w:val="0"/>
        </w:rPr>
      </w:r>
    </w:p>
    <w:p w:rsidR="00000000" w:rsidDel="00000000" w:rsidP="00000000" w:rsidRDefault="00000000" w:rsidRPr="00000000" w14:paraId="0000003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QT2 = qualificació del segon trimestre</w:t>
      </w:r>
      <w:r w:rsidDel="00000000" w:rsidR="00000000" w:rsidRPr="00000000">
        <w:rPr>
          <w:rtl w:val="0"/>
        </w:rPr>
      </w:r>
    </w:p>
    <w:p w:rsidR="00000000" w:rsidDel="00000000" w:rsidP="00000000" w:rsidRDefault="00000000" w:rsidRPr="00000000" w14:paraId="0000003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QT3 = qualificació del tercer trimestre</w:t>
      </w:r>
      <w:r w:rsidDel="00000000" w:rsidR="00000000" w:rsidRPr="00000000">
        <w:rPr>
          <w:rtl w:val="0"/>
        </w:rPr>
      </w:r>
    </w:p>
    <w:p w:rsidR="00000000" w:rsidDel="00000000" w:rsidP="00000000" w:rsidRDefault="00000000" w:rsidRPr="00000000" w14:paraId="0000003A">
      <w:pPr>
        <w:spacing w:after="240" w:lineRule="auto"/>
        <w:jc w:val="both"/>
        <w:rPr>
          <w:rFonts w:ascii="Century Gothic" w:cs="Century Gothic" w:eastAsia="Century Gothic" w:hAnsi="Century Gothic"/>
          <w:b w:val="0"/>
          <w:color w:val="00b0f0"/>
          <w:sz w:val="22"/>
          <w:szCs w:val="22"/>
          <w:vertAlign w:val="baseline"/>
        </w:rPr>
      </w:pPr>
      <w:r w:rsidDel="00000000" w:rsidR="00000000" w:rsidRPr="00000000">
        <w:rPr>
          <w:rtl w:val="0"/>
        </w:rPr>
      </w:r>
    </w:p>
    <w:p w:rsidR="00000000" w:rsidDel="00000000" w:rsidP="00000000" w:rsidRDefault="00000000" w:rsidRPr="00000000" w14:paraId="0000003B">
      <w:pPr>
        <w:spacing w:after="240" w:lineRule="auto"/>
        <w:jc w:val="both"/>
        <w:rPr>
          <w:rFonts w:ascii="Century Gothic" w:cs="Century Gothic" w:eastAsia="Century Gothic" w:hAnsi="Century Gothic"/>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RECUPERACIÓ MATÈRIA PENDENT CURSOS ANTERIORS</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L’alumnat de 1r de BAT que passi de curs amb la matèria pendent (o matèries), la podrà recuperar durant el primer trimestre de 2n de BAT, d’acord amb el calendari programat de recuperació de matèries pendents.</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En cas d’avaluació negativa, l’alumnat podrà recuperar la matèria en una segona convocatòria durant el 2n trimestre i en última instància, a l’avaluació final ordinària i, si escau, a l’avaluació final extraordinària.</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La qualificació de la matèria després d'aquestes activitats de recuperació es qualificarà com la resta de matèries, és a dir, de l'1 al 10.</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A principi de curs, el/la cap de departament i la coordinació de batxillerat faran arribar les instruccions per recuperar la/es matèria/es pendents del curs anterior a l’alumnat concret.</w:t>
      </w:r>
    </w:p>
    <w:p w:rsidR="00000000" w:rsidDel="00000000" w:rsidP="00000000" w:rsidRDefault="00000000" w:rsidRPr="00000000" w14:paraId="0000004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41">
      <w:pPr>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4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4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sectPr>
      <w:headerReference r:id="rId7" w:type="default"/>
      <w:footerReference r:id="rId8" w:type="default"/>
      <w:pgSz w:h="16838" w:w="11906" w:orient="portrait"/>
      <w:pgMar w:bottom="1134"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9698.999999999998" w:type="dxa"/>
      <w:jc w:val="center"/>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693"/>
      <w:gridCol w:w="2303"/>
      <w:gridCol w:w="1124"/>
      <w:gridCol w:w="1015"/>
      <w:gridCol w:w="1978"/>
      <w:gridCol w:w="573"/>
      <w:gridCol w:w="1263"/>
      <w:gridCol w:w="750"/>
      <w:tblGridChange w:id="0">
        <w:tblGrid>
          <w:gridCol w:w="693"/>
          <w:gridCol w:w="2303"/>
          <w:gridCol w:w="1124"/>
          <w:gridCol w:w="1015"/>
          <w:gridCol w:w="1978"/>
          <w:gridCol w:w="573"/>
          <w:gridCol w:w="1263"/>
          <w:gridCol w:w="750"/>
        </w:tblGrid>
      </w:tblGridChange>
    </w:tblGrid>
    <w:tr>
      <w:trPr>
        <w:cantSplit w:val="1"/>
        <w:trHeight w:val="294" w:hRule="atLeast"/>
        <w:tblHeader w:val="0"/>
      </w:trPr>
      <w:tc>
        <w:tcPr>
          <w:vMerge w:val="restart"/>
          <w:vAlign w:val="top"/>
        </w:tcPr>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c0c0c0"/>
              <w:sz w:val="16"/>
              <w:szCs w:val="16"/>
              <w:u w:val="none"/>
              <w:shd w:fill="auto" w:val="clear"/>
              <w:vertAlign w:val="baseline"/>
            </w:rPr>
            <w:drawing>
              <wp:inline distB="0" distT="0" distL="114300" distR="114300">
                <wp:extent cx="276860" cy="314325"/>
                <wp:effectExtent b="0" l="0" r="0" t="0"/>
                <wp:docPr id="1029"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76860" cy="314325"/>
                        </a:xfrm>
                        <a:prstGeom prst="rect"/>
                        <a:ln/>
                      </pic:spPr>
                    </pic:pic>
                  </a:graphicData>
                </a:graphic>
              </wp:inline>
            </w:drawing>
          </w:r>
          <w:r w:rsidDel="00000000" w:rsidR="00000000" w:rsidRPr="00000000">
            <w:rPr>
              <w:rtl w:val="0"/>
            </w:rPr>
          </w:r>
        </w:p>
      </w:tc>
      <w:tc>
        <w:tcPr>
          <w:vMerge w:val="restart"/>
          <w:vAlign w:val="center"/>
        </w:tcPr>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Generalitat de Catalunya </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Departament d’Educació</w:t>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1"/>
              <w:i w:val="0"/>
              <w:smallCaps w:val="0"/>
              <w:strike w:val="0"/>
              <w:color w:val="808080"/>
              <w:sz w:val="16"/>
              <w:szCs w:val="16"/>
              <w:u w:val="none"/>
              <w:shd w:fill="auto" w:val="clear"/>
              <w:vertAlign w:val="baseline"/>
              <w:rtl w:val="0"/>
            </w:rPr>
            <w:t xml:space="preserve">Institut Baix Camp</w:t>
          </w:r>
          <w:r w:rsidDel="00000000" w:rsidR="00000000" w:rsidRPr="00000000">
            <w:rPr>
              <w:rtl w:val="0"/>
            </w:rPr>
          </w:r>
        </w:p>
      </w:tc>
      <w:tc>
        <w:tcPr>
          <w:vAlign w:val="center"/>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25/06/2024</w:t>
          </w:r>
        </w:p>
      </w:tc>
      <w:tc>
        <w:tcPr>
          <w:vAlign w:val="center"/>
        </w:tcPr>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Arxiu</w:t>
          </w:r>
        </w:p>
      </w:tc>
      <w:tc>
        <w:tcPr>
          <w:gridSpan w:val="3"/>
          <w:vAlign w:val="center"/>
        </w:tcPr>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Model criteris qualificació BATX</w:t>
          </w:r>
        </w:p>
      </w:tc>
      <w:tc>
        <w:tcPr>
          <w:vMerge w:val="restart"/>
          <w:vAlign w:val="center"/>
        </w:tcPr>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 de </w:t>
          </w:r>
          <w:r w:rsidDel="00000000" w:rsidR="00000000" w:rsidRPr="00000000">
            <w:rPr>
              <w:rFonts w:ascii="Arial" w:cs="Arial" w:eastAsia="Arial" w:hAnsi="Arial"/>
              <w:b w:val="0"/>
              <w:i w:val="0"/>
              <w:smallCaps w:val="0"/>
              <w:strike w:val="0"/>
              <w:color w:val="80808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r>
      <w:trPr>
        <w:cantSplit w:val="1"/>
        <w:trHeight w:val="294" w:hRule="atLeast"/>
        <w:tblHeader w:val="0"/>
      </w:trPr>
      <w:tc>
        <w:tcPr>
          <w:vMerge w:val="continue"/>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versió  1</w:t>
          </w:r>
        </w:p>
      </w:tc>
      <w:tc>
        <w:tcPr>
          <w:vAlign w:val="center"/>
        </w:tcPr>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Elaborat</w:t>
          </w:r>
        </w:p>
      </w:tc>
      <w:tc>
        <w:tcPr>
          <w:vAlign w:val="center"/>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Coordinació pedagògica </w:t>
          </w:r>
        </w:p>
      </w:tc>
      <w:tc>
        <w:tcPr>
          <w:vAlign w:val="center"/>
        </w:tcPr>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Codi</w:t>
          </w:r>
        </w:p>
      </w:tc>
      <w:tc>
        <w:tcPr>
          <w:vAlign w:val="center"/>
        </w:tcPr>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MO-PRO088</w:t>
          </w:r>
        </w:p>
      </w:tc>
      <w:tc>
        <w:tcPr>
          <w:vMerge w:val="continue"/>
          <w:vAlign w:val="cente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sz w:val="22"/>
        <w:szCs w:val="22"/>
        <w:vertAlign w:val="baseline"/>
      </w:rPr>
    </w:pPr>
    <w:r w:rsidDel="00000000" w:rsidR="00000000" w:rsidRPr="00000000">
      <w:rPr>
        <w:rtl w:val="0"/>
      </w:rPr>
    </w:r>
  </w:p>
  <w:tbl>
    <w:tblPr>
      <w:tblStyle w:val="Table3"/>
      <w:tblW w:w="9180.0" w:type="dxa"/>
      <w:jc w:val="left"/>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3060"/>
      <w:gridCol w:w="1800"/>
      <w:gridCol w:w="4320"/>
      <w:tblGridChange w:id="0">
        <w:tblGrid>
          <w:gridCol w:w="3060"/>
          <w:gridCol w:w="1800"/>
          <w:gridCol w:w="4320"/>
        </w:tblGrid>
      </w:tblGridChange>
    </w:tblGrid>
    <w:tr>
      <w:trPr>
        <w:cantSplit w:val="1"/>
        <w:trHeight w:val="537" w:hRule="atLeast"/>
        <w:tblHeader w:val="0"/>
      </w:trPr>
      <w:tc>
        <w:tcPr>
          <w:vMerge w:val="restart"/>
          <w:vAlign w:val="center"/>
        </w:tcPr>
        <w:p w:rsidR="00000000" w:rsidDel="00000000" w:rsidP="00000000" w:rsidRDefault="00000000" w:rsidRPr="00000000" w14:paraId="00000045">
          <w:pPr>
            <w:tabs>
              <w:tab w:val="left" w:leader="none" w:pos="567"/>
            </w:tabs>
            <w:rPr>
              <w:color w:val="333333"/>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-809623</wp:posOffset>
                </wp:positionH>
                <wp:positionV relativeFrom="paragraph">
                  <wp:posOffset>-1902</wp:posOffset>
                </wp:positionV>
                <wp:extent cx="809625" cy="809625"/>
                <wp:effectExtent b="0" l="0" r="0" t="0"/>
                <wp:wrapSquare wrapText="bothSides" distB="0" distT="0" distL="114300" distR="114300"/>
                <wp:docPr id="102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09625" cy="809625"/>
                        </a:xfrm>
                        <a:prstGeom prst="rect"/>
                        <a:ln/>
                      </pic:spPr>
                    </pic:pic>
                  </a:graphicData>
                </a:graphic>
              </wp:anchor>
            </w:drawing>
          </w:r>
        </w:p>
      </w:tc>
      <w:tc>
        <w:tcPr>
          <w:gridSpan w:val="2"/>
          <w:vAlign w:val="center"/>
        </w:tcPr>
        <w:p w:rsidR="00000000" w:rsidDel="00000000" w:rsidP="00000000" w:rsidRDefault="00000000" w:rsidRPr="00000000" w14:paraId="00000046">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1"/>
              <w:i w:val="0"/>
              <w:smallCaps w:val="0"/>
              <w:strike w:val="0"/>
              <w:color w:val="333333"/>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20"/>
              <w:szCs w:val="20"/>
              <w:u w:val="none"/>
              <w:shd w:fill="auto" w:val="clear"/>
              <w:vertAlign w:val="baseline"/>
              <w:rtl w:val="0"/>
            </w:rPr>
            <w:t xml:space="preserve">          CRITERIS DE QUALIFICACIÓ BATX</w:t>
          </w:r>
        </w:p>
      </w:tc>
    </w:tr>
    <w:tr>
      <w:trPr>
        <w:cantSplit w:val="1"/>
        <w:trHeight w:val="253" w:hRule="atLeast"/>
        <w:tblHeader w:val="0"/>
      </w:trPr>
      <w:tc>
        <w:tcPr>
          <w:vMerge w:val="continue"/>
          <w:vAlign w:val="cente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1"/>
              <w:i w:val="0"/>
              <w:smallCaps w:val="0"/>
              <w:strike w:val="0"/>
              <w:color w:val="333333"/>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9">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Matèria</w:t>
          </w:r>
        </w:p>
      </w:tc>
      <w:tc>
        <w:tcPr>
          <w:vAlign w:val="center"/>
        </w:tcPr>
        <w:p w:rsidR="00000000" w:rsidDel="00000000" w:rsidP="00000000" w:rsidRDefault="00000000" w:rsidRPr="00000000" w14:paraId="0000004A">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Tecnologia i Enginyeria</w:t>
          </w:r>
        </w:p>
      </w:tc>
    </w:tr>
    <w:tr>
      <w:trPr>
        <w:cantSplit w:val="1"/>
        <w:trHeight w:val="403" w:hRule="atLeast"/>
        <w:tblHeader w:val="0"/>
      </w:trPr>
      <w:tc>
        <w:tcPr>
          <w:vMerge w:val="continue"/>
          <w:vAlign w:val="cente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color w:val="333333"/>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04C">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Nivell</w:t>
          </w:r>
        </w:p>
      </w:tc>
      <w:tc>
        <w:tcPr>
          <w:vAlign w:val="center"/>
        </w:tcPr>
        <w:p w:rsidR="00000000" w:rsidDel="00000000" w:rsidP="00000000" w:rsidRDefault="00000000" w:rsidRPr="00000000" w14:paraId="0000004D">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highlight w:val="yellow"/>
              <w:vertAlign w:val="baseline"/>
              <w:rtl w:val="0"/>
            </w:rPr>
            <w:t xml:space="preserve">XXX</w:t>
          </w:r>
          <w:r w:rsidDel="00000000" w:rsidR="00000000" w:rsidRPr="00000000">
            <w:rPr>
              <w:rtl w:val="0"/>
            </w:rPr>
          </w:r>
        </w:p>
      </w:tc>
    </w:tr>
  </w:tbl>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Título1">
    <w:name w:val="Título 1"/>
    <w:basedOn w:val="Normal"/>
    <w:next w:val="Normal"/>
    <w:autoRedefine w:val="0"/>
    <w:hidden w:val="0"/>
    <w:qFormat w:val="0"/>
    <w:pPr>
      <w:keepNext w:val="1"/>
      <w:suppressAutoHyphens w:val="1"/>
      <w:spacing w:after="60" w:before="240" w:line="1" w:lineRule="atLeast"/>
      <w:ind w:leftChars="-1" w:rightChars="0" w:firstLineChars="-1"/>
      <w:textDirection w:val="btLr"/>
      <w:textAlignment w:val="top"/>
      <w:outlineLvl w:val="0"/>
    </w:pPr>
    <w:rPr>
      <w:rFonts w:ascii="Arial" w:cs="Arial" w:hAnsi="Arial"/>
      <w:b w:val="1"/>
      <w:bCs w:val="1"/>
      <w:w w:val="100"/>
      <w:kern w:val="32"/>
      <w:position w:val="-1"/>
      <w:sz w:val="32"/>
      <w:szCs w:val="32"/>
      <w:effect w:val="none"/>
      <w:vertAlign w:val="baseline"/>
      <w:cs w:val="0"/>
      <w:em w:val="none"/>
      <w:lang w:bidi="ar-SA" w:eastAsia="ca-ES" w:val="ca-ES"/>
    </w:rPr>
  </w:style>
  <w:style w:type="paragraph" w:styleId="Título3">
    <w:name w:val="Título 3"/>
    <w:basedOn w:val="Normal"/>
    <w:next w:val="Normal"/>
    <w:autoRedefine w:val="0"/>
    <w:hidden w:val="0"/>
    <w:qFormat w:val="0"/>
    <w:pPr>
      <w:keepNext w:val="1"/>
      <w:widowControl w:val="0"/>
      <w:suppressAutoHyphens w:val="0"/>
      <w:spacing w:after="60" w:before="240" w:line="1" w:lineRule="atLeast"/>
      <w:ind w:leftChars="-1" w:rightChars="0" w:firstLineChars="-1"/>
      <w:textDirection w:val="btLr"/>
      <w:textAlignment w:val="top"/>
      <w:outlineLvl w:val="2"/>
    </w:pPr>
    <w:rPr>
      <w:rFonts w:ascii="Times" w:cs="Arial" w:eastAsia="DejaVu Sans" w:hAnsi="Times"/>
      <w:b w:val="1"/>
      <w:bCs w:val="1"/>
      <w:w w:val="100"/>
      <w:kern w:val="1"/>
      <w:position w:val="-1"/>
      <w:sz w:val="26"/>
      <w:szCs w:val="26"/>
      <w:effect w:val="none"/>
      <w:vertAlign w:val="baseline"/>
      <w:cs w:val="0"/>
      <w:em w:val="none"/>
      <w:lang w:bidi="ar-SA" w:eastAsia="und" w:val="ca-ES"/>
    </w:rPr>
  </w:style>
  <w:style w:type="character" w:styleId="Fuentedepárrafopredeter.">
    <w:name w:val="Fuente de párrafo predeter."/>
    <w:next w:val="Fuentedepárrafopredeter."/>
    <w:autoRedefine w:val="0"/>
    <w:hidden w:val="0"/>
    <w:qFormat w:val="0"/>
    <w:rPr>
      <w:w w:val="100"/>
      <w:position w:val="-1"/>
      <w:effect w:val="none"/>
      <w:vertAlign w:val="baseline"/>
      <w:cs w:val="0"/>
      <w:em w:val="none"/>
      <w:lang/>
    </w:rPr>
  </w:style>
  <w:style w:type="table" w:styleId="Tablanormal">
    <w:name w:val="Tabla normal"/>
    <w:next w:val="Tabla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inlista">
    <w:name w:val="Sin lista"/>
    <w:next w:val="Sinlista"/>
    <w:autoRedefine w:val="0"/>
    <w:hidden w:val="0"/>
    <w:qFormat w:val="0"/>
    <w:pPr>
      <w:suppressAutoHyphens w:val="1"/>
      <w:spacing w:line="1" w:lineRule="atLeast"/>
      <w:ind w:leftChars="-1" w:rightChars="0" w:firstLineChars="-1"/>
      <w:textDirection w:val="btLr"/>
      <w:textAlignment w:val="top"/>
      <w:outlineLvl w:val="0"/>
    </w:pPr>
  </w:style>
  <w:style w:type="paragraph" w:styleId="Encabezado">
    <w:name w:val="Encabezado"/>
    <w:basedOn w:val="Normal"/>
    <w:next w:val="Encabezado"/>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Piedepágina">
    <w:name w:val="Pie de página"/>
    <w:basedOn w:val="Normal"/>
    <w:next w:val="Piedepágina"/>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Formatolibre">
    <w:name w:val="Formato libre"/>
    <w:next w:val="Formatolibre"/>
    <w:autoRedefine w:val="0"/>
    <w:hidden w:val="0"/>
    <w:qFormat w:val="0"/>
    <w:pPr>
      <w:suppressAutoHyphens w:val="1"/>
      <w:spacing w:line="1" w:lineRule="atLeast"/>
      <w:ind w:leftChars="-1" w:rightChars="0" w:firstLineChars="-1"/>
      <w:textDirection w:val="btLr"/>
      <w:textAlignment w:val="top"/>
      <w:outlineLvl w:val="0"/>
    </w:pPr>
    <w:rPr>
      <w:color w:val="000000"/>
      <w:w w:val="100"/>
      <w:position w:val="-1"/>
      <w:effect w:val="none"/>
      <w:vertAlign w:val="baseline"/>
      <w:cs w:val="0"/>
      <w:em w:val="none"/>
      <w:lang w:bidi="ar-SA" w:eastAsia="es-ES" w:val="und"/>
    </w:rPr>
  </w:style>
  <w:style w:type="paragraph" w:styleId="Título31">
    <w:name w:val="Título 31"/>
    <w:next w:val="Normal"/>
    <w:autoRedefine w:val="0"/>
    <w:hidden w:val="0"/>
    <w:qFormat w:val="0"/>
    <w:pPr>
      <w:keepNext w:val="1"/>
      <w:widowControl w:val="0"/>
      <w:suppressAutoHyphens w:val="0"/>
      <w:spacing w:after="60" w:before="240" w:line="1" w:lineRule="atLeast"/>
      <w:ind w:leftChars="-1" w:rightChars="0" w:firstLineChars="-1"/>
      <w:textDirection w:val="btLr"/>
      <w:textAlignment w:val="top"/>
      <w:outlineLvl w:val="2"/>
    </w:pPr>
    <w:rPr>
      <w:rFonts w:ascii="Times" w:eastAsia="ヒラギノ角ゴ Pro W3" w:hAnsi="Times"/>
      <w:b w:val="1"/>
      <w:color w:val="000000"/>
      <w:w w:val="100"/>
      <w:kern w:val="1"/>
      <w:position w:val="-1"/>
      <w:sz w:val="26"/>
      <w:effect w:val="none"/>
      <w:vertAlign w:val="baseline"/>
      <w:cs w:val="0"/>
      <w:em w:val="none"/>
      <w:lang w:bidi="ar-SA" w:eastAsia="es-ES" w:val="und"/>
    </w:rPr>
  </w:style>
  <w:style w:type="table" w:styleId="Tablaconcuadrícula">
    <w:name w:val="Tabla con cuadrícula"/>
    <w:basedOn w:val="Tablanormal"/>
    <w:next w:val="Tablaconcuadrícul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aconcuadrícu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es-ES" w:val="es-ES"/>
    </w:rPr>
  </w:style>
  <w:style w:type="paragraph" w:styleId="Párrafodelista">
    <w:name w:val="Párrafo de lista"/>
    <w:basedOn w:val="Normal"/>
    <w:next w:val="Párrafodelista"/>
    <w:autoRedefine w:val="0"/>
    <w:hidden w:val="0"/>
    <w:qFormat w:val="0"/>
    <w:pPr>
      <w:suppressAutoHyphens w:val="1"/>
      <w:spacing w:line="1" w:lineRule="atLeast"/>
      <w:ind w:left="708"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character" w:styleId="Textoennegrita">
    <w:name w:val="Texto en negrita"/>
    <w:next w:val="Textoennegrita"/>
    <w:autoRedefine w:val="0"/>
    <w:hidden w:val="0"/>
    <w:qFormat w:val="0"/>
    <w:rPr>
      <w:b w:val="1"/>
      <w:bCs w:val="1"/>
      <w:w w:val="100"/>
      <w:position w:val="-1"/>
      <w:effect w:val="none"/>
      <w:vertAlign w:val="baseline"/>
      <w:cs w:val="0"/>
      <w:em w:val="none"/>
      <w:lang/>
    </w:rPr>
  </w:style>
  <w:style w:type="character" w:styleId="PiedepáginaCar">
    <w:name w:val="Pie de página Car"/>
    <w:next w:val="PiedepáginaCar"/>
    <w:autoRedefine w:val="0"/>
    <w:hidden w:val="0"/>
    <w:qFormat w:val="0"/>
    <w:rPr>
      <w:w w:val="100"/>
      <w:position w:val="-1"/>
      <w:sz w:val="24"/>
      <w:szCs w:val="24"/>
      <w:effect w:val="none"/>
      <w:vertAlign w:val="baseline"/>
      <w:cs w:val="0"/>
      <w:em w:val="none"/>
      <w:lang w:eastAsia="es-E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FSvXeoYDlehDspNB5LBkMt3DMw==">CgMxLjA4AHIhMUFOdDBvUXByVVNObmozbGlPdWQ4RXk5cXRqcjlxX3hq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2024-06-27T05:34:00Z</dcterms:created>
  <dc:creator>j&amp;n</dc:creator>
</cp:coreProperties>
</file>