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rPr>
          <w:rFonts w:ascii="Century Gothic" w:cs="Century Gothic" w:eastAsia="Century Gothic" w:hAnsi="Century Gothic"/>
          <w:b w:val="0"/>
          <w:color w:val="00b0f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rPr>
          <w:rFonts w:ascii="Century Gothic" w:cs="Century Gothic" w:eastAsia="Century Gothic" w:hAnsi="Century Gothic"/>
          <w:b w:val="0"/>
          <w:color w:val="70ad47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70ad47"/>
          <w:sz w:val="22"/>
          <w:szCs w:val="22"/>
          <w:vertAlign w:val="baseline"/>
          <w:rtl w:val="0"/>
        </w:rPr>
        <w:t xml:space="preserve">AVALUACIÓ ORDINÀRIA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spacing w:after="60" w:before="240" w:line="240" w:lineRule="auto"/>
        <w:ind w:left="0" w:right="0" w:firstLine="0"/>
        <w:jc w:val="left"/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b0f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b0f0"/>
          <w:sz w:val="22"/>
          <w:szCs w:val="22"/>
          <w:u w:val="none"/>
          <w:shd w:fill="auto" w:val="clear"/>
          <w:vertAlign w:val="baseline"/>
          <w:rtl w:val="0"/>
        </w:rPr>
        <w:t xml:space="preserve">Nota trimestral</w:t>
      </w:r>
    </w:p>
    <w:p w:rsidR="00000000" w:rsidDel="00000000" w:rsidP="00000000" w:rsidRDefault="00000000" w:rsidRPr="00000000" w14:paraId="00000004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La nota final de la convocatòria trimestral s’obté a partir de les notes obtingudes en el treball de les competències específiques de la matèria seleccionades a continuació. </w:t>
      </w:r>
    </w:p>
    <w:p w:rsidR="00000000" w:rsidDel="00000000" w:rsidP="00000000" w:rsidRDefault="00000000" w:rsidRPr="00000000" w14:paraId="00000005">
      <w:pPr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De caràcter general, els instruments d’avaluació seran diferents, preveuran </w:t>
      </w:r>
      <w:r w:rsidDel="00000000" w:rsidR="00000000" w:rsidRPr="00000000">
        <w:rPr>
          <w:rFonts w:ascii="Century Gothic" w:cs="Century Gothic" w:eastAsia="Century Gothic" w:hAnsi="Century Gothic"/>
          <w:color w:val="222222"/>
          <w:sz w:val="22"/>
          <w:szCs w:val="22"/>
          <w:highlight w:val="white"/>
          <w:vertAlign w:val="baseline"/>
          <w:rtl w:val="0"/>
        </w:rPr>
        <w:t xml:space="preserve">l'autoavaluació i la co-avaluació d’alumnat i garantiran un seguiment continu de cada alumne/a al llarg del procés d'aprenentatge.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523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141"/>
        <w:gridCol w:w="1382"/>
        <w:tblGridChange w:id="0">
          <w:tblGrid>
            <w:gridCol w:w="9141"/>
            <w:gridCol w:w="1382"/>
          </w:tblGrid>
        </w:tblGridChange>
      </w:tblGrid>
      <w:tr>
        <w:trPr>
          <w:cantSplit w:val="0"/>
          <w:trHeight w:val="808" w:hRule="atLeast"/>
          <w:tblHeader w:val="0"/>
        </w:trPr>
        <w:tc>
          <w:tcPr>
            <w:tcBorders>
              <w:bottom w:color="000000" w:space="0" w:sz="4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008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b w:val="0"/>
                <w:color w:val="ffff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ffffff"/>
                <w:sz w:val="22"/>
                <w:szCs w:val="22"/>
                <w:vertAlign w:val="baseline"/>
                <w:rtl w:val="0"/>
              </w:rPr>
              <w:t xml:space="preserve">COMPETÈNCIES ESPECÍFIQUES MATÈRIA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009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b w:val="0"/>
                <w:color w:val="ffff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ffffff"/>
                <w:sz w:val="22"/>
                <w:szCs w:val="22"/>
                <w:vertAlign w:val="baseline"/>
                <w:rtl w:val="0"/>
              </w:rPr>
              <w:t xml:space="preserve">SELECCIÓ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9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1.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Interpretar fenòmens de la naturalesa, predient i argumentant el seu comportament a partir de models, lleis i teories propis de la biologia i la geologia per apropiar-se de conceptes i processos propis de la ciència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4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2.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Identificar, seleccionar, organitzar i avaluar críticament dades i informació, contrastant-ne la fiabilitat per resoldre preguntes relacionades amb la biologia i la geologia i descartar solucions pseudocientífiques.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333333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both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3.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Dissenyar, desenvolupar i comunicar el plantejament i les conclusions de recerques dins de l’àmbit escolar, incloent la formulació de preguntes i d’hipòtesis i la seva contrastació experimental, seguint els passos de les metodologies pròpies de la ciència, com l’experimentació i la cerca d’evidències, cooperant quan calgui, per indagar en aspectes relacionats amb la biologia i la geologia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333333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both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4.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Fer servir diverses formes de raonament, com el pensament hipoteticodeductiu i el pensament computacional, per resoldre problemes o donar explicació a fenòmens naturals i processos de la vida quotidiana relacionats amb la biologia i la geologia, mitjançant l’anàlisi crítica de les respostes i solucions i reformulant el procediment, si fos necessari.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333333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both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5.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Analitzar els efectes de determinades accions sobre el medi ambient i la salut, basant-se en els fonaments de les ciències biològiques i geològiques, per fer propostes d’acció i per decidir de manera informada sobre problemàtiques actuals i adoptar hàbits que minimitzin els impactes mediambientals, que siguin compatibles amb un desenvolupament sostenible i que permetin mantenir i millorar la salut individual i col·lectiva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333333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both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6.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Analitzar els elements del paisatge, utilitzant de forma integrada els coneixements procedents de la biologia, la geologia i les ciències ambientals per explicar-ne l’origen i la possible evolució, així com les característiques de la comunitat d’organismes, la dinàmica del relleu i els possibles riscos naturals.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66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626"/>
        <w:gridCol w:w="4098"/>
        <w:gridCol w:w="1941"/>
        <w:tblGridChange w:id="0">
          <w:tblGrid>
            <w:gridCol w:w="4626"/>
            <w:gridCol w:w="4098"/>
            <w:gridCol w:w="1941"/>
          </w:tblGrid>
        </w:tblGridChange>
      </w:tblGrid>
      <w:tr>
        <w:trPr>
          <w:cantSplit w:val="0"/>
          <w:trHeight w:val="71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19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b w:val="0"/>
                <w:color w:val="ffff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01A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b w:val="0"/>
                <w:color w:val="ffff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ffffff"/>
                <w:sz w:val="22"/>
                <w:szCs w:val="22"/>
                <w:vertAlign w:val="baseline"/>
                <w:rtl w:val="0"/>
              </w:rPr>
              <w:t xml:space="preserve">INSTRUMENTS D’AVALUACIÓ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92d050" w:val="clear"/>
            <w:vAlign w:val="center"/>
          </w:tcPr>
          <w:p w:rsidR="00000000" w:rsidDel="00000000" w:rsidP="00000000" w:rsidRDefault="00000000" w:rsidRPr="00000000" w14:paraId="0000001B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b w:val="0"/>
                <w:color w:val="ffff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ffffff"/>
                <w:sz w:val="22"/>
                <w:szCs w:val="22"/>
                <w:vertAlign w:val="baseline"/>
                <w:rtl w:val="0"/>
              </w:rPr>
              <w:t xml:space="preserve">PONDERACIONS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1" w:hRule="atLeast"/>
          <w:tblHeader w:val="0"/>
        </w:trPr>
        <w:tc>
          <w:tcPr>
            <w:tcBorders>
              <w:top w:color="000000" w:space="0" w:sz="4" w:val="single"/>
            </w:tcBorders>
            <w:shd w:fill="e2efd9" w:val="clear"/>
            <w:vAlign w:val="center"/>
          </w:tcPr>
          <w:p w:rsidR="00000000" w:rsidDel="00000000" w:rsidP="00000000" w:rsidRDefault="00000000" w:rsidRPr="00000000" w14:paraId="0000001C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0"/>
                <w:szCs w:val="20"/>
                <w:vertAlign w:val="baseline"/>
                <w:rtl w:val="0"/>
              </w:rPr>
              <w:t xml:space="preserve">COMPETÈNCIES específiques de matèria treballades  aquest curs/nivell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D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Checklist del dossier d’aprenentatge</w:t>
            </w:r>
          </w:p>
          <w:p w:rsidR="00000000" w:rsidDel="00000000" w:rsidP="00000000" w:rsidRDefault="00000000" w:rsidRPr="00000000" w14:paraId="0000001F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Rúbrica d’avaluació d’activitats orals i escrites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1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25%</w:t>
            </w:r>
          </w:p>
          <w:p w:rsidR="00000000" w:rsidDel="00000000" w:rsidP="00000000" w:rsidRDefault="00000000" w:rsidRPr="00000000" w14:paraId="00000023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35%</w:t>
            </w:r>
          </w:p>
        </w:tc>
      </w:tr>
      <w:tr>
        <w:trPr>
          <w:cantSplit w:val="0"/>
          <w:trHeight w:val="802" w:hRule="atLeast"/>
          <w:tblHeader w:val="0"/>
        </w:trPr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26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0"/>
                <w:szCs w:val="20"/>
                <w:vertAlign w:val="baseline"/>
                <w:rtl w:val="0"/>
              </w:rPr>
              <w:t xml:space="preserve">COMPETÈNCIES comunes a totes les matèries: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numPr>
                <w:ilvl w:val="0"/>
                <w:numId w:val="1"/>
              </w:numPr>
              <w:tabs>
                <w:tab w:val="left" w:leader="none" w:pos="720"/>
              </w:tabs>
              <w:ind w:left="720" w:hanging="360"/>
              <w:jc w:val="both"/>
              <w:rPr>
                <w:rFonts w:ascii="Century Gothic" w:cs="Century Gothic" w:eastAsia="Century Gothic" w:hAnsi="Century Gothic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i w:val="1"/>
                <w:sz w:val="20"/>
                <w:szCs w:val="20"/>
                <w:vertAlign w:val="baseline"/>
                <w:rtl w:val="0"/>
              </w:rPr>
              <w:t xml:space="preserve">Respecte envers el professor/a, els companys, si mateix i el seu entorn i compliment de les normes de convivència i dels deures dels alumnes contemplats en les Normes de Funcionament del Centre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numPr>
                <w:ilvl w:val="0"/>
                <w:numId w:val="1"/>
              </w:num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ind w:left="720" w:hanging="360"/>
              <w:jc w:val="both"/>
              <w:rPr>
                <w:rFonts w:ascii="Century Gothic" w:cs="Century Gothic" w:eastAsia="Century Gothic" w:hAnsi="Century Gothic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i w:val="1"/>
                <w:sz w:val="20"/>
                <w:szCs w:val="20"/>
                <w:vertAlign w:val="baseline"/>
                <w:rtl w:val="0"/>
              </w:rPr>
              <w:t xml:space="preserve">Esperit de superació, esforç i treball demostrat diàriament tant a casa com a l’aula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9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Observació d’aula</w:t>
            </w:r>
          </w:p>
          <w:p w:rsidR="00000000" w:rsidDel="00000000" w:rsidP="00000000" w:rsidRDefault="00000000" w:rsidRPr="00000000" w14:paraId="0000002B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Full de control de deures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D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25%</w:t>
            </w:r>
          </w:p>
          <w:p w:rsidR="00000000" w:rsidDel="00000000" w:rsidP="00000000" w:rsidRDefault="00000000" w:rsidRPr="00000000" w14:paraId="0000002F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15%</w:t>
            </w:r>
          </w:p>
        </w:tc>
      </w:tr>
    </w:tbl>
    <w:p w:rsidR="00000000" w:rsidDel="00000000" w:rsidP="00000000" w:rsidRDefault="00000000" w:rsidRPr="00000000" w14:paraId="00000031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b w:val="0"/>
          <w:color w:val="00b0f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00b0f0"/>
          <w:sz w:val="22"/>
          <w:szCs w:val="22"/>
          <w:vertAlign w:val="baseline"/>
          <w:rtl w:val="0"/>
        </w:rPr>
        <w:t xml:space="preserve">Observacions rellevants del instruments d’avaluació emprats.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i w:val="0"/>
          <w:color w:val="ff2712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Per aprovar el trimestre caldrà haver superat ≥50% la suma de les competències avaluades.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b w:val="0"/>
          <w:color w:val="00b0f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00b0f0"/>
          <w:sz w:val="22"/>
          <w:szCs w:val="22"/>
          <w:vertAlign w:val="baseline"/>
          <w:rtl w:val="0"/>
        </w:rPr>
        <w:t xml:space="preserve">Justificació d’absència el dia d’una prova o examen.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Si l’alumne no assisteix a classe el dia de la prova o examen, haurà de justificar documentalment la seva absència al professor afectat i tutor/a per tenir dret a fer-lo en un altre moment.</w:t>
      </w:r>
    </w:p>
    <w:p w:rsidR="00000000" w:rsidDel="00000000" w:rsidP="00000000" w:rsidRDefault="00000000" w:rsidRPr="00000000" w14:paraId="00000038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widowControl w:val="0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b w:val="0"/>
          <w:color w:val="00b0f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00b0f0"/>
          <w:sz w:val="22"/>
          <w:szCs w:val="22"/>
          <w:vertAlign w:val="baseline"/>
          <w:rtl w:val="0"/>
        </w:rPr>
        <w:t xml:space="preserve">Activitats de recuperació trimestral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widowControl w:val="0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b w:val="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En cas de no superar el trimestre, l’alumne/-a haurà de </w:t>
      </w: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highlight w:val="yellow"/>
          <w:vertAlign w:val="baseline"/>
          <w:rtl w:val="0"/>
        </w:rPr>
        <w:t xml:space="preserve">XXX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1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spacing w:after="60" w:before="240" w:line="240" w:lineRule="auto"/>
        <w:ind w:left="0" w:right="0" w:firstLine="0"/>
        <w:jc w:val="both"/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b0f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b0f0"/>
          <w:sz w:val="22"/>
          <w:szCs w:val="22"/>
          <w:u w:val="none"/>
          <w:shd w:fill="auto" w:val="clear"/>
          <w:vertAlign w:val="baseline"/>
          <w:rtl w:val="0"/>
        </w:rPr>
        <w:t xml:space="preserve">Nota final contínua (juny)</w:t>
      </w:r>
    </w:p>
    <w:p w:rsidR="00000000" w:rsidDel="00000000" w:rsidP="00000000" w:rsidRDefault="00000000" w:rsidRPr="00000000" w14:paraId="0000003C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La nota de la final contínua s’obté a partir de l</w:t>
      </w: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a obtinguda en només un trimestre, ja que l’optativa és trimestral, però cada alumnat la cursa en un trimestre distint (T1, T2 o T3)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color w:val="00b05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color w:val="00b05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color w:val="ff0000"/>
          <w:sz w:val="22"/>
          <w:szCs w:val="22"/>
          <w:highlight w:val="yellow"/>
          <w:vertAlign w:val="baseline"/>
          <w:rtl w:val="0"/>
        </w:rPr>
        <w:t xml:space="preserve">QF = </w:t>
      </w:r>
      <w:r w:rsidDel="00000000" w:rsidR="00000000" w:rsidRPr="00000000">
        <w:rPr>
          <w:rFonts w:ascii="Century Gothic" w:cs="Century Gothic" w:eastAsia="Century Gothic" w:hAnsi="Century Gothic"/>
          <w:i w:val="1"/>
          <w:color w:val="ff0000"/>
          <w:sz w:val="22"/>
          <w:szCs w:val="22"/>
          <w:highlight w:val="yellow"/>
          <w:u w:val="single"/>
          <w:vertAlign w:val="baseline"/>
          <w:rtl w:val="0"/>
        </w:rPr>
        <w:t xml:space="preserve">QT1</w:t>
      </w:r>
      <w:r w:rsidDel="00000000" w:rsidR="00000000" w:rsidRPr="00000000">
        <w:rPr>
          <w:rFonts w:ascii="Century Gothic" w:cs="Century Gothic" w:eastAsia="Century Gothic" w:hAnsi="Century Gothic"/>
          <w:i w:val="1"/>
          <w:color w:val="ff0000"/>
          <w:sz w:val="22"/>
          <w:szCs w:val="22"/>
          <w:highlight w:val="yellow"/>
          <w:u w:val="single"/>
          <w:rtl w:val="0"/>
        </w:rPr>
        <w:t xml:space="preserve"> o QT2 o QT3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vertAlign w:val="baseline"/>
          <w:rtl w:val="0"/>
        </w:rPr>
        <w:t xml:space="preserve">QF = qualificació final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vertAlign w:val="baseline"/>
          <w:rtl w:val="0"/>
        </w:rPr>
        <w:t xml:space="preserve">QT1 = qualificació del primer trimestre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vertAlign w:val="baseline"/>
          <w:rtl w:val="0"/>
        </w:rPr>
        <w:t xml:space="preserve">QT2 = qualificació del segon trimestre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vertAlign w:val="baseline"/>
          <w:rtl w:val="0"/>
        </w:rPr>
        <w:t xml:space="preserve">QT3 = qualificació del tercer trimestre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both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Cal tenir present que els termes emprats als informes d’avaluació per valorar el grau d’assoliment de l’alumne/a són qualitatius. Aquesta valoració, tant numèrica com qualitativa, té sempre un veritable sentit d’avaluació formativa i formadora, i resultarà del valor numèric obtingut segons les indicacions detallades anteriorment i tenint en compte les equivalències numèriques següents:</w:t>
      </w:r>
    </w:p>
    <w:p w:rsidR="00000000" w:rsidDel="00000000" w:rsidP="00000000" w:rsidRDefault="00000000" w:rsidRPr="00000000" w14:paraId="00000046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color w:val="ff000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color w:val="ff0000"/>
          <w:sz w:val="22"/>
          <w:szCs w:val="22"/>
          <w:vertAlign w:val="baseline"/>
          <w:rtl w:val="0"/>
        </w:rPr>
        <w:t xml:space="preserve">AE: assoliment excel·lent (entre 9 i 10)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color w:val="ff000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color w:val="ff0000"/>
          <w:sz w:val="22"/>
          <w:szCs w:val="22"/>
          <w:vertAlign w:val="baseline"/>
          <w:rtl w:val="0"/>
        </w:rPr>
        <w:t xml:space="preserve">AN: assoliment notable (entre 7 i 8)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color w:val="ff000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color w:val="ff0000"/>
          <w:sz w:val="22"/>
          <w:szCs w:val="22"/>
          <w:vertAlign w:val="baseline"/>
          <w:rtl w:val="0"/>
        </w:rPr>
        <w:t xml:space="preserve">AS: assoliment satisfactori  (entre 5 i 6)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color w:val="ff000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color w:val="ff0000"/>
          <w:sz w:val="22"/>
          <w:szCs w:val="22"/>
          <w:vertAlign w:val="baseline"/>
          <w:rtl w:val="0"/>
        </w:rPr>
        <w:t xml:space="preserve">NA: no assoliment  (menys de 5)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color w:val="ff2712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240" w:lineRule="auto"/>
        <w:jc w:val="both"/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 xml:space="preserve">L’arrodoniment de les notes serà a l’alça a partir de x,50.</w:t>
      </w:r>
    </w:p>
    <w:p w:rsidR="00000000" w:rsidDel="00000000" w:rsidP="00000000" w:rsidRDefault="00000000" w:rsidRPr="00000000" w14:paraId="0000004C">
      <w:pPr>
        <w:spacing w:after="240" w:lineRule="auto"/>
        <w:jc w:val="both"/>
        <w:rPr>
          <w:rFonts w:ascii="Century Gothic" w:cs="Century Gothic" w:eastAsia="Century Gothic" w:hAnsi="Century Gothic"/>
          <w:color w:val="00b0f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00b0f0"/>
          <w:sz w:val="22"/>
          <w:szCs w:val="22"/>
          <w:vertAlign w:val="baseline"/>
          <w:rtl w:val="0"/>
        </w:rPr>
        <w:t xml:space="preserve">RECUPERACIÓ MATÈRIA PENDENT CURSOS ANTERIORS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-A final de curs s’entregarà a l’alumnat amb l’assignatura pendent el dossier de recuperació corresponent que haurà de presentar a la cap de departament i/o professora de biologia de referència durant el curs següent.</w:t>
      </w:r>
    </w:p>
    <w:p w:rsidR="00000000" w:rsidDel="00000000" w:rsidP="00000000" w:rsidRDefault="00000000" w:rsidRPr="00000000" w14:paraId="0000004E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-L'alumnat amb matèries pendents de cursos anteriors que passi a un grup d'adaptació individualitzada serà avaluat segons els criteris específics del nou grup entrant.</w:t>
      </w:r>
    </w:p>
    <w:p w:rsidR="00000000" w:rsidDel="00000000" w:rsidP="00000000" w:rsidRDefault="00000000" w:rsidRPr="00000000" w14:paraId="00000050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134" w:top="1418" w:left="1418" w:right="1418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  <w:font w:name="Century Gothic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0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4"/>
      <w:tblW w:w="9698.999999999998" w:type="dxa"/>
      <w:jc w:val="center"/>
      <w:tblBorders>
        <w:top w:color="c0c0c0" w:space="0" w:sz="4" w:val="single"/>
        <w:left w:color="c0c0c0" w:space="0" w:sz="4" w:val="single"/>
        <w:bottom w:color="c0c0c0" w:space="0" w:sz="4" w:val="single"/>
        <w:right w:color="c0c0c0" w:space="0" w:sz="4" w:val="single"/>
        <w:insideH w:color="c0c0c0" w:space="0" w:sz="4" w:val="single"/>
        <w:insideV w:color="c0c0c0" w:space="0" w:sz="4" w:val="single"/>
      </w:tblBorders>
      <w:tblLayout w:type="fixed"/>
      <w:tblLook w:val="0000"/>
    </w:tblPr>
    <w:tblGrid>
      <w:gridCol w:w="693"/>
      <w:gridCol w:w="2303"/>
      <w:gridCol w:w="1124"/>
      <w:gridCol w:w="1015"/>
      <w:gridCol w:w="1978"/>
      <w:gridCol w:w="573"/>
      <w:gridCol w:w="1263"/>
      <w:gridCol w:w="750"/>
      <w:tblGridChange w:id="0">
        <w:tblGrid>
          <w:gridCol w:w="693"/>
          <w:gridCol w:w="2303"/>
          <w:gridCol w:w="1124"/>
          <w:gridCol w:w="1015"/>
          <w:gridCol w:w="1978"/>
          <w:gridCol w:w="573"/>
          <w:gridCol w:w="1263"/>
          <w:gridCol w:w="750"/>
        </w:tblGrid>
      </w:tblGridChange>
    </w:tblGrid>
    <w:tr>
      <w:trPr>
        <w:cantSplit w:val="1"/>
        <w:trHeight w:val="294" w:hRule="atLeast"/>
        <w:tblHeader w:val="0"/>
      </w:trPr>
      <w:tc>
        <w:tcPr>
          <w:vMerge w:val="restart"/>
          <w:vAlign w:val="top"/>
        </w:tcPr>
        <w:p w:rsidR="00000000" w:rsidDel="00000000" w:rsidP="00000000" w:rsidRDefault="00000000" w:rsidRPr="00000000" w14:paraId="00000061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c0c0c0"/>
              <w:sz w:val="16"/>
              <w:szCs w:val="16"/>
              <w:u w:val="none"/>
              <w:shd w:fill="auto" w:val="clear"/>
              <w:vertAlign w:val="baseline"/>
            </w:rPr>
            <w:drawing>
              <wp:inline distB="0" distT="0" distL="114300" distR="114300">
                <wp:extent cx="281305" cy="314325"/>
                <wp:effectExtent b="0" l="0" r="0" t="0"/>
                <wp:docPr id="103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1305" cy="31432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Merge w:val="restart"/>
          <w:vAlign w:val="center"/>
        </w:tcPr>
        <w:p w:rsidR="00000000" w:rsidDel="00000000" w:rsidP="00000000" w:rsidRDefault="00000000" w:rsidRPr="00000000" w14:paraId="00000062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Generalitat de Catalunya </w:t>
          </w:r>
        </w:p>
        <w:p w:rsidR="00000000" w:rsidDel="00000000" w:rsidP="00000000" w:rsidRDefault="00000000" w:rsidRPr="00000000" w14:paraId="00000063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Departament d’Educació</w:t>
          </w:r>
        </w:p>
        <w:p w:rsidR="00000000" w:rsidDel="00000000" w:rsidP="00000000" w:rsidRDefault="00000000" w:rsidRPr="00000000" w14:paraId="00000064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Institut Baix Camp</w:t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65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25/06/2024</w:t>
          </w:r>
        </w:p>
      </w:tc>
      <w:tc>
        <w:tcPr>
          <w:vAlign w:val="center"/>
        </w:tcPr>
        <w:p w:rsidR="00000000" w:rsidDel="00000000" w:rsidP="00000000" w:rsidRDefault="00000000" w:rsidRPr="00000000" w14:paraId="00000066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righ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Arxiu</w:t>
          </w:r>
        </w:p>
      </w:tc>
      <w:tc>
        <w:tcPr>
          <w:gridSpan w:val="3"/>
          <w:vAlign w:val="center"/>
        </w:tcPr>
        <w:p w:rsidR="00000000" w:rsidDel="00000000" w:rsidP="00000000" w:rsidRDefault="00000000" w:rsidRPr="00000000" w14:paraId="00000067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Model criteris qualificació ESO</w:t>
          </w:r>
        </w:p>
      </w:tc>
      <w:tc>
        <w:tcPr>
          <w:vMerge w:val="restart"/>
          <w:vAlign w:val="center"/>
        </w:tcPr>
        <w:p w:rsidR="00000000" w:rsidDel="00000000" w:rsidP="00000000" w:rsidRDefault="00000000" w:rsidRPr="00000000" w14:paraId="0000006A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 de </w:t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  <w:tr>
      <w:trPr>
        <w:cantSplit w:val="1"/>
        <w:trHeight w:val="294" w:hRule="atLeast"/>
        <w:tblHeader w:val="0"/>
      </w:trPr>
      <w:tc>
        <w:tcPr>
          <w:vMerge w:val="continue"/>
          <w:vAlign w:val="top"/>
        </w:tcPr>
        <w:p w:rsidR="00000000" w:rsidDel="00000000" w:rsidP="00000000" w:rsidRDefault="00000000" w:rsidRPr="00000000" w14:paraId="0000006B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vAlign w:val="center"/>
        </w:tcPr>
        <w:p w:rsidR="00000000" w:rsidDel="00000000" w:rsidP="00000000" w:rsidRDefault="00000000" w:rsidRPr="00000000" w14:paraId="0000006C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6D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versió  1</w:t>
          </w:r>
        </w:p>
      </w:tc>
      <w:tc>
        <w:tcPr>
          <w:vAlign w:val="center"/>
        </w:tcPr>
        <w:p w:rsidR="00000000" w:rsidDel="00000000" w:rsidP="00000000" w:rsidRDefault="00000000" w:rsidRPr="00000000" w14:paraId="0000006E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righ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Elaborat</w:t>
          </w:r>
        </w:p>
      </w:tc>
      <w:tc>
        <w:tcPr>
          <w:vAlign w:val="center"/>
        </w:tcPr>
        <w:p w:rsidR="00000000" w:rsidDel="00000000" w:rsidP="00000000" w:rsidRDefault="00000000" w:rsidRPr="00000000" w14:paraId="0000006F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Coordinació pedagògica </w:t>
          </w:r>
        </w:p>
      </w:tc>
      <w:tc>
        <w:tcPr>
          <w:vAlign w:val="center"/>
        </w:tcPr>
        <w:p w:rsidR="00000000" w:rsidDel="00000000" w:rsidP="00000000" w:rsidRDefault="00000000" w:rsidRPr="00000000" w14:paraId="00000070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Codi</w:t>
          </w:r>
        </w:p>
      </w:tc>
      <w:tc>
        <w:tcPr>
          <w:vAlign w:val="center"/>
        </w:tcPr>
        <w:p w:rsidR="00000000" w:rsidDel="00000000" w:rsidP="00000000" w:rsidRDefault="00000000" w:rsidRPr="00000000" w14:paraId="00000071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MO-PRO087</w:t>
          </w:r>
        </w:p>
      </w:tc>
      <w:tc>
        <w:tcPr>
          <w:vMerge w:val="continue"/>
          <w:vAlign w:val="center"/>
        </w:tcPr>
        <w:p w:rsidR="00000000" w:rsidDel="00000000" w:rsidP="00000000" w:rsidRDefault="00000000" w:rsidRPr="00000000" w14:paraId="00000072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7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3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3"/>
      <w:tblW w:w="9180.0" w:type="dxa"/>
      <w:jc w:val="left"/>
      <w:tblBorders>
        <w:top w:color="000000" w:space="0" w:sz="0" w:val="nil"/>
        <w:left w:color="000000" w:space="0" w:sz="0" w:val="nil"/>
        <w:bottom w:color="000000" w:space="0" w:sz="4" w:val="single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000"/>
    </w:tblPr>
    <w:tblGrid>
      <w:gridCol w:w="3060"/>
      <w:gridCol w:w="1800"/>
      <w:gridCol w:w="4320"/>
      <w:tblGridChange w:id="0">
        <w:tblGrid>
          <w:gridCol w:w="3060"/>
          <w:gridCol w:w="1800"/>
          <w:gridCol w:w="4320"/>
        </w:tblGrid>
      </w:tblGridChange>
    </w:tblGrid>
    <w:tr>
      <w:trPr>
        <w:cantSplit w:val="1"/>
        <w:trHeight w:val="537" w:hRule="atLeast"/>
        <w:tblHeader w:val="0"/>
      </w:trPr>
      <w:tc>
        <w:tcPr>
          <w:vMerge w:val="restart"/>
          <w:vAlign w:val="center"/>
        </w:tcPr>
        <w:p w:rsidR="00000000" w:rsidDel="00000000" w:rsidP="00000000" w:rsidRDefault="00000000" w:rsidRPr="00000000" w14:paraId="00000054">
          <w:pPr>
            <w:tabs>
              <w:tab w:val="left" w:leader="none" w:pos="567"/>
            </w:tabs>
            <w:rPr>
              <w:color w:val="333333"/>
              <w:vertAlign w:val="baseline"/>
            </w:rPr>
          </w:pPr>
          <w:r w:rsidDel="00000000" w:rsidR="00000000" w:rsidRPr="00000000">
            <w:rPr>
              <w:rtl w:val="0"/>
            </w:rPr>
          </w:r>
          <w:r w:rsidDel="00000000" w:rsidR="00000000" w:rsidRPr="00000000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-809622</wp:posOffset>
                </wp:positionH>
                <wp:positionV relativeFrom="paragraph">
                  <wp:posOffset>-1901</wp:posOffset>
                </wp:positionV>
                <wp:extent cx="809625" cy="809625"/>
                <wp:effectExtent b="0" l="0" r="0" t="0"/>
                <wp:wrapSquare wrapText="bothSides" distB="0" distT="0" distL="114300" distR="114300"/>
                <wp:docPr id="1030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9625" cy="8096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gridSpan w:val="2"/>
          <w:vAlign w:val="center"/>
        </w:tcPr>
        <w:p w:rsidR="00000000" w:rsidDel="00000000" w:rsidP="00000000" w:rsidRDefault="00000000" w:rsidRPr="00000000" w14:paraId="00000055">
          <w:pPr>
            <w:keepNext w:val="1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Century Gothic" w:cs="Century Gothic" w:eastAsia="Century Gothic" w:hAnsi="Century Gothic"/>
              <w:b w:val="1"/>
              <w:i w:val="0"/>
              <w:smallCaps w:val="0"/>
              <w:strike w:val="0"/>
              <w:color w:val="333333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b w:val="1"/>
              <w:i w:val="0"/>
              <w:smallCaps w:val="0"/>
              <w:strike w:val="0"/>
              <w:color w:val="333333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          CRITERIS DE QUALIFICACIÓ ESO</w:t>
          </w:r>
        </w:p>
      </w:tc>
    </w:tr>
    <w:tr>
      <w:trPr>
        <w:cantSplit w:val="1"/>
        <w:trHeight w:val="253" w:hRule="atLeast"/>
        <w:tblHeader w:val="0"/>
      </w:trPr>
      <w:tc>
        <w:tcPr>
          <w:vMerge w:val="continue"/>
          <w:vAlign w:val="center"/>
        </w:tcPr>
        <w:p w:rsidR="00000000" w:rsidDel="00000000" w:rsidP="00000000" w:rsidRDefault="00000000" w:rsidRPr="00000000" w14:paraId="00000057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entury Gothic" w:cs="Century Gothic" w:eastAsia="Century Gothic" w:hAnsi="Century Gothic"/>
              <w:b w:val="1"/>
              <w:i w:val="0"/>
              <w:smallCaps w:val="0"/>
              <w:strike w:val="0"/>
              <w:color w:val="333333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58">
          <w:pPr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  <w:rtl w:val="0"/>
            </w:rPr>
            <w:t xml:space="preserve">Matèria</w:t>
          </w:r>
        </w:p>
      </w:tc>
      <w:tc>
        <w:tcPr>
          <w:vAlign w:val="center"/>
        </w:tcPr>
        <w:p w:rsidR="00000000" w:rsidDel="00000000" w:rsidP="00000000" w:rsidRDefault="00000000" w:rsidRPr="00000000" w14:paraId="00000059">
          <w:pPr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color w:val="333333"/>
              <w:sz w:val="18"/>
              <w:szCs w:val="18"/>
              <w:rtl w:val="0"/>
            </w:rPr>
            <w:t xml:space="preserve">Optativa de </w:t>
          </w:r>
          <w:r w:rsidDel="00000000" w:rsidR="00000000" w:rsidRPr="00000000"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  <w:rtl w:val="0"/>
            </w:rPr>
            <w:t xml:space="preserve">Biologia i Geologia</w:t>
          </w:r>
        </w:p>
      </w:tc>
    </w:tr>
    <w:tr>
      <w:trPr>
        <w:cantSplit w:val="1"/>
        <w:trHeight w:val="403" w:hRule="atLeast"/>
        <w:tblHeader w:val="0"/>
      </w:trPr>
      <w:tc>
        <w:tcPr>
          <w:vMerge w:val="continue"/>
          <w:vAlign w:val="center"/>
        </w:tcPr>
        <w:p w:rsidR="00000000" w:rsidDel="00000000" w:rsidP="00000000" w:rsidRDefault="00000000" w:rsidRPr="00000000" w14:paraId="0000005A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5B">
          <w:pPr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  <w:rtl w:val="0"/>
            </w:rPr>
            <w:t xml:space="preserve">Nivell</w:t>
          </w:r>
        </w:p>
      </w:tc>
      <w:tc>
        <w:tcPr>
          <w:vAlign w:val="center"/>
        </w:tcPr>
        <w:p w:rsidR="00000000" w:rsidDel="00000000" w:rsidP="00000000" w:rsidRDefault="00000000" w:rsidRPr="00000000" w14:paraId="0000005C">
          <w:pPr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color w:val="333333"/>
              <w:sz w:val="18"/>
              <w:szCs w:val="18"/>
              <w:rtl w:val="0"/>
            </w:rPr>
            <w:t xml:space="preserve">3r d’ESO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5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Título1">
    <w:name w:val="Título 1"/>
    <w:basedOn w:val="Normal"/>
    <w:next w:val="Normal"/>
    <w:autoRedefine w:val="0"/>
    <w:hidden w:val="0"/>
    <w:qFormat w:val="0"/>
    <w:pPr>
      <w:keepNext w:val="1"/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 w:bidi="ar-SA" w:eastAsia="ca-ES" w:val="ca-ES"/>
    </w:rPr>
  </w:style>
  <w:style w:type="paragraph" w:styleId="Título3">
    <w:name w:val="Título 3"/>
    <w:basedOn w:val="Normal"/>
    <w:next w:val="Normal"/>
    <w:autoRedefine w:val="0"/>
    <w:hidden w:val="0"/>
    <w:qFormat w:val="0"/>
    <w:pPr>
      <w:keepNext w:val="1"/>
      <w:widowControl w:val="0"/>
      <w:suppressAutoHyphens w:val="0"/>
      <w:spacing w:after="60" w:before="240" w:line="1" w:lineRule="atLeast"/>
      <w:ind w:leftChars="-1" w:rightChars="0" w:firstLineChars="-1"/>
      <w:textDirection w:val="btLr"/>
      <w:textAlignment w:val="top"/>
      <w:outlineLvl w:val="2"/>
    </w:pPr>
    <w:rPr>
      <w:rFonts w:ascii="Times" w:cs="Arial" w:eastAsia="DejaVu Sans" w:hAnsi="Times"/>
      <w:b w:val="1"/>
      <w:bCs w:val="1"/>
      <w:w w:val="100"/>
      <w:kern w:val="1"/>
      <w:position w:val="-1"/>
      <w:sz w:val="26"/>
      <w:szCs w:val="26"/>
      <w:effect w:val="none"/>
      <w:vertAlign w:val="baseline"/>
      <w:cs w:val="0"/>
      <w:em w:val="none"/>
      <w:lang w:bidi="ar-SA" w:eastAsia="und" w:val="ca-ES"/>
    </w:rPr>
  </w:style>
  <w:style w:type="character" w:styleId="Fuentedepárrafopredeter.">
    <w:name w:val="Fuente de párrafo predeter."/>
    <w:next w:val="Fuentedepárrafopredeter.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anormal">
    <w:name w:val="Tabla normal"/>
    <w:next w:val="Tabla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>
    <w:name w:val="Sin lista"/>
    <w:next w:val="Sinlist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Encabezado">
    <w:name w:val="Encabezado"/>
    <w:basedOn w:val="Normal"/>
    <w:next w:val="Encabezado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Piedepágina">
    <w:name w:val="Pie de página"/>
    <w:basedOn w:val="Normal"/>
    <w:next w:val="Piedepágina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Formatolibre">
    <w:name w:val="Formato libre"/>
    <w:next w:val="Formatolibr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color w:val="000000"/>
      <w:w w:val="100"/>
      <w:position w:val="-1"/>
      <w:effect w:val="none"/>
      <w:vertAlign w:val="baseline"/>
      <w:cs w:val="0"/>
      <w:em w:val="none"/>
      <w:lang w:bidi="ar-SA" w:eastAsia="es-ES" w:val="und"/>
    </w:rPr>
  </w:style>
  <w:style w:type="paragraph" w:styleId="Título31">
    <w:name w:val="Título 31"/>
    <w:next w:val="Normal"/>
    <w:autoRedefine w:val="0"/>
    <w:hidden w:val="0"/>
    <w:qFormat w:val="0"/>
    <w:pPr>
      <w:keepNext w:val="1"/>
      <w:widowControl w:val="0"/>
      <w:suppressAutoHyphens w:val="0"/>
      <w:spacing w:after="60" w:before="240" w:line="1" w:lineRule="atLeast"/>
      <w:ind w:leftChars="-1" w:rightChars="0" w:firstLineChars="-1"/>
      <w:textDirection w:val="btLr"/>
      <w:textAlignment w:val="top"/>
      <w:outlineLvl w:val="2"/>
    </w:pPr>
    <w:rPr>
      <w:rFonts w:ascii="Times" w:eastAsia="ヒラギノ角ゴ Pro W3" w:hAnsi="Times"/>
      <w:b w:val="1"/>
      <w:color w:val="000000"/>
      <w:w w:val="100"/>
      <w:kern w:val="1"/>
      <w:position w:val="-1"/>
      <w:sz w:val="26"/>
      <w:effect w:val="none"/>
      <w:vertAlign w:val="baseline"/>
      <w:cs w:val="0"/>
      <w:em w:val="none"/>
      <w:lang w:bidi="ar-SA" w:eastAsia="es-ES" w:val="und"/>
    </w:rPr>
  </w:style>
  <w:style w:type="table" w:styleId="Tablaconcuadrícula">
    <w:name w:val="Tabla con cuadrícula"/>
    <w:basedOn w:val="Tablanormal"/>
    <w:next w:val="Tablaconcuadrícu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aconcuadrícu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Normal(Web)">
    <w:name w:val="Normal (Web)"/>
    <w:basedOn w:val="Normal"/>
    <w:next w:val="Normal(Web)"/>
    <w:autoRedefine w:val="0"/>
    <w:hidden w:val="0"/>
    <w:qFormat w:val="1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es-ES" w:val="es-ES"/>
    </w:rPr>
  </w:style>
  <w:style w:type="paragraph" w:styleId="Párrafodelista">
    <w:name w:val="Párrafo de lista"/>
    <w:basedOn w:val="Normal"/>
    <w:next w:val="Párrafodelista"/>
    <w:autoRedefine w:val="0"/>
    <w:hidden w:val="0"/>
    <w:qFormat w:val="0"/>
    <w:pPr>
      <w:suppressAutoHyphens w:val="1"/>
      <w:spacing w:line="1" w:lineRule="atLeast"/>
      <w:ind w:left="708"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character" w:styleId="Textoennegrita">
    <w:name w:val="Texto en negrita"/>
    <w:next w:val="Textoennegrita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CenturyGothic-regular.ttf"/><Relationship Id="rId4" Type="http://schemas.openxmlformats.org/officeDocument/2006/relationships/font" Target="fonts/CenturyGothic-bold.ttf"/><Relationship Id="rId5" Type="http://schemas.openxmlformats.org/officeDocument/2006/relationships/font" Target="fonts/CenturyGothic-italic.ttf"/><Relationship Id="rId6" Type="http://schemas.openxmlformats.org/officeDocument/2006/relationships/font" Target="fonts/CenturyGothic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JikFZ25FgXCL+xflbVsnVpYZ1g==">CgMxLjA4AHIhMTl6S01zZ1ZfRU54cUY4VkRNRThHTnkyYmhOTW0wM3B5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2024-06-11T16:37:00Z</dcterms:created>
  <dc:creator>j&amp;n</dc:creator>
</cp:coreProperties>
</file>